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Presenter Talking Points: Marcus Delgado Case Study</w:t>
      </w:r>
    </w:p>
    <w:p>
      <w:r>
        <w:t>Here are the key points and statistics to cover when presenting the Marcus Delgado case study.</w:t>
      </w:r>
    </w:p>
    <w:p>
      <w:r>
        <w:t>____________________</w:t>
      </w:r>
    </w:p>
    <w:p>
      <w:pPr>
        <w:pStyle w:val="Heading3"/>
      </w:pPr>
      <w:r>
        <w:t>1. The Customer Profile:</w:t>
      </w:r>
    </w:p>
    <w:p>
      <w:pPr>
        <w:pStyle w:val="ListBullet"/>
      </w:pPr>
      <w:r>
        <w:t>Who is Marcus Delgado? A 38-year-old salaried employee in Tampa, Florida, a customer since 04/10/2017.</w:t>
      </w:r>
    </w:p>
    <w:p>
      <w:pPr>
        <w:pStyle w:val="ListBullet"/>
      </w:pPr>
      <w:r>
        <w:t>What's his story? Internal records list his occupation as Warehouse Operations Supervisor and his employer as Bayshore Precision Fabricators, Inc., a local manufacturing company. Payroll of approximately $4,600 per month is the only source of income recorded on file. No business account, business interest or self-employment is recorded.</w:t>
      </w:r>
    </w:p>
    <w:p>
      <w:pPr>
        <w:pStyle w:val="ListBullet"/>
      </w:pPr>
      <w:r>
        <w:t>Key Expectation: For a salaried employee with a single payroll source we would expect the account to be funded by that payroll and drawn down on household and living costs. Five-figure international wires received from, and sent to, offshore jurisdictions are immediate red flags.</w:t>
      </w:r>
    </w:p>
    <w:p>
      <w:pPr>
        <w:pStyle w:val="Heading3"/>
      </w:pPr>
      <w:r>
        <w:t>2. The Alert:</w:t>
      </w:r>
    </w:p>
    <w:p>
      <w:pPr>
        <w:pStyle w:val="ListBullet"/>
      </w:pPr>
      <w:r>
        <w:t>The Trigger: The case was flagged for 6 international wire transfers - 3 credits received from entities in the Seychelles totalling $37,150.00 and 3 debits sent to entities in Belize and St Kitts and Nevis totalling $36,700.00.</w:t>
      </w:r>
    </w:p>
    <w:p>
      <w:pPr>
        <w:pStyle w:val="ListBullet"/>
      </w:pPr>
      <w:r>
        <w:t>The Core Conflict: A salaried employee earning $27,779.51 over six months received $37,150.00 from offshore entities he has no recorded connection to, and forwarded it to different offshore entities within three to five days, retaining $150.00 on each occasion.</w:t>
      </w:r>
    </w:p>
    <w:p>
      <w:pPr>
        <w:pStyle w:val="Heading3"/>
      </w:pPr>
      <w:r>
        <w:t>3. The Investigation:</w:t>
      </w:r>
    </w:p>
    <w:p>
      <w:pPr>
        <w:pStyle w:val="Heading4"/>
      </w:pPr>
      <w:r>
        <w:t>The Inflows: Payroll, and Three Wires from the Seychelles</w:t>
      </w:r>
    </w:p>
    <w:p>
      <w:r>
        <w:t>The account is funded from two streams. One is the recorded payroll. The other is not supported by anything in the customer file.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Inflow Type</w:t>
            </w:r>
          </w:p>
        </w:tc>
        <w:tc>
          <w:tcPr>
            <w:tcW w:type="dxa" w:w="1728"/>
          </w:tcPr>
          <w:p>
            <w:r>
              <w:rPr>
                <w:b/>
              </w:rPr>
              <w:t>Total Amount</w:t>
            </w:r>
          </w:p>
        </w:tc>
        <w:tc>
          <w:tcPr>
            <w:tcW w:type="dxa" w:w="1728"/>
          </w:tcPr>
          <w:p>
            <w:r>
              <w:rPr>
                <w:b/>
              </w:rPr>
              <w:t>Number of Transactions</w:t>
            </w:r>
          </w:p>
        </w:tc>
        <w:tc>
          <w:tcPr>
            <w:tcW w:type="dxa" w:w="1728"/>
          </w:tcPr>
          <w:p>
            <w:r>
              <w:rPr>
                <w:b/>
              </w:rPr>
              <w:t>Sources</w:t>
            </w:r>
          </w:p>
        </w:tc>
        <w:tc>
          <w:tcPr>
            <w:tcW w:type="dxa" w:w="1728"/>
          </w:tcPr>
          <w:p>
            <w:r>
              <w:rPr>
                <w:b/>
              </w:rPr>
              <w:t>Key Insight</w:t>
            </w:r>
          </w:p>
        </w:tc>
      </w:tr>
      <w:tr>
        <w:tc>
          <w:tcPr>
            <w:tcW w:type="dxa" w:w="1728"/>
          </w:tcPr>
          <w:p>
            <w:r>
              <w:t>Payroll credits</w:t>
            </w:r>
          </w:p>
        </w:tc>
        <w:tc>
          <w:tcPr>
            <w:tcW w:type="dxa" w:w="1728"/>
          </w:tcPr>
          <w:p>
            <w:r>
              <w:t>$27,779.51</w:t>
            </w:r>
          </w:p>
        </w:tc>
        <w:tc>
          <w:tcPr>
            <w:tcW w:type="dxa" w:w="1728"/>
          </w:tcPr>
          <w:p>
            <w:r>
              <w:t>6</w:t>
            </w:r>
          </w:p>
        </w:tc>
        <w:tc>
          <w:tcPr>
            <w:tcW w:type="dxa" w:w="1728"/>
          </w:tcPr>
          <w:p>
            <w:r>
              <w:t>Bayshore Precision Fabricators, Inc. (ACH)</w:t>
            </w:r>
          </w:p>
        </w:tc>
        <w:tc>
          <w:tcPr>
            <w:tcW w:type="dxa" w:w="1728"/>
          </w:tcPr>
          <w:p>
            <w:r>
              <w:t>Monthly credits of $4,598.75 to $4,731.16 - the only source of income recorded on file.</w:t>
            </w:r>
          </w:p>
        </w:tc>
      </w:tr>
      <w:tr>
        <w:tc>
          <w:tcPr>
            <w:tcW w:type="dxa" w:w="1728"/>
          </w:tcPr>
          <w:p>
            <w:r>
              <w:t>Incoming international wires</w:t>
            </w:r>
          </w:p>
        </w:tc>
        <w:tc>
          <w:tcPr>
            <w:tcW w:type="dxa" w:w="1728"/>
          </w:tcPr>
          <w:p>
            <w:r>
              <w:t>$37,150.00</w:t>
            </w:r>
          </w:p>
        </w:tc>
        <w:tc>
          <w:tcPr>
            <w:tcW w:type="dxa" w:w="1728"/>
          </w:tcPr>
          <w:p>
            <w:r>
              <w:t>3</w:t>
            </w:r>
          </w:p>
        </w:tc>
        <w:tc>
          <w:tcPr>
            <w:tcW w:type="dxa" w:w="1728"/>
          </w:tcPr>
          <w:p>
            <w:r>
              <w:t>Nera Point Holdings Ltd, Ardenne Vale Trading Ltd and Solmere Pacific Ltd, all of Victoria, Mahe, Seychelles</w:t>
            </w:r>
          </w:p>
        </w:tc>
        <w:tc>
          <w:tcPr>
            <w:tcW w:type="dxa" w:w="1728"/>
          </w:tcPr>
          <w:p>
            <w:r>
              <w:t>Credits of $11,800.00 to $12,950.00, each with a commercial stated purpose, from entities with no corporate registry record, website or domain.</w:t>
            </w:r>
          </w:p>
        </w:tc>
      </w:tr>
      <w:tr>
        <w:tc>
          <w:tcPr>
            <w:tcW w:type="dxa" w:w="1728"/>
          </w:tcPr>
          <w:p>
            <w:r>
              <w:rPr>
                <w:b/>
              </w:rPr>
              <w:t>Total Inflows</w:t>
            </w:r>
          </w:p>
        </w:tc>
        <w:tc>
          <w:tcPr>
            <w:tcW w:type="dxa" w:w="1728"/>
          </w:tcPr>
          <w:p>
            <w:r>
              <w:rPr>
                <w:b/>
              </w:rPr>
              <w:t>$64,929.51</w:t>
            </w:r>
          </w:p>
        </w:tc>
        <w:tc>
          <w:tcPr>
            <w:tcW w:type="dxa" w:w="1728"/>
          </w:tcPr>
          <w:p>
            <w:r>
              <w:rPr>
                <w:b/>
              </w:rPr>
              <w:t>9</w:t>
            </w:r>
          </w:p>
        </w:tc>
        <w:tc>
          <w:tcPr>
            <w:tcW w:type="dxa" w:w="1728"/>
          </w:tcPr>
          <w:p>
            <w:r>
              <w:rPr>
                <w:b/>
              </w:rPr>
            </w:r>
          </w:p>
        </w:tc>
        <w:tc>
          <w:tcPr>
            <w:tcW w:type="dxa" w:w="1728"/>
          </w:tcPr>
          <w:p>
            <w:r>
              <w:rPr>
                <w:b/>
              </w:rPr>
              <w:t>The wire credits alone exceed the customer’s entire payroll for the six-month period.</w:t>
            </w:r>
          </w:p>
        </w:tc>
      </w:tr>
    </w:tbl>
    <w:p>
      <w:pPr>
        <w:pStyle w:val="Heading4"/>
      </w:pPr>
      <w:r>
        <w:t>The Outflows: Living Expenses, and Three Wires to Belize and Nevis</w:t>
      </w:r>
    </w:p>
    <w:p>
      <w:r>
        <w:t>Debit activity falls into two streams: 36 recurring living-expense payments funded by the payroll, and 3 international wires that mirror the wire credits.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Expense</w:t>
            </w:r>
          </w:p>
        </w:tc>
        <w:tc>
          <w:tcPr>
            <w:tcW w:type="dxa" w:w="1728"/>
          </w:tcPr>
          <w:p>
            <w:r>
              <w:rPr>
                <w:b/>
              </w:rPr>
              <w:t>Payee</w:t>
            </w:r>
          </w:p>
        </w:tc>
        <w:tc>
          <w:tcPr>
            <w:tcW w:type="dxa" w:w="1728"/>
          </w:tcPr>
          <w:p>
            <w:r>
              <w:rPr>
                <w:b/>
              </w:rPr>
              <w:t>Count</w:t>
            </w:r>
          </w:p>
        </w:tc>
        <w:tc>
          <w:tcPr>
            <w:tcW w:type="dxa" w:w="1728"/>
          </w:tcPr>
          <w:p>
            <w:r>
              <w:rPr>
                <w:b/>
              </w:rPr>
              <w:t>Amount Range</w:t>
            </w:r>
          </w:p>
        </w:tc>
        <w:tc>
          <w:tcPr>
            <w:tcW w:type="dxa" w:w="1728"/>
          </w:tcPr>
          <w:p>
            <w:r>
              <w:rPr>
                <w:b/>
              </w:rPr>
              <w:t>Total</w:t>
            </w:r>
          </w:p>
        </w:tc>
      </w:tr>
      <w:tr>
        <w:tc>
          <w:tcPr>
            <w:tcW w:type="dxa" w:w="1728"/>
          </w:tcPr>
          <w:p>
            <w:r>
              <w:t>Rent</w:t>
            </w:r>
          </w:p>
        </w:tc>
        <w:tc>
          <w:tcPr>
            <w:tcW w:type="dxa" w:w="1728"/>
          </w:tcPr>
          <w:p>
            <w:r>
              <w:t>Bayview Ridge Apartments</w:t>
            </w:r>
          </w:p>
        </w:tc>
        <w:tc>
          <w:tcPr>
            <w:tcW w:type="dxa" w:w="1728"/>
          </w:tcPr>
          <w:p>
            <w:r>
              <w:t>6</w:t>
            </w:r>
          </w:p>
        </w:tc>
        <w:tc>
          <w:tcPr>
            <w:tcW w:type="dxa" w:w="1728"/>
          </w:tcPr>
          <w:p>
            <w:r>
              <w:t>$1,950.00</w:t>
            </w:r>
          </w:p>
        </w:tc>
        <w:tc>
          <w:tcPr>
            <w:tcW w:type="dxa" w:w="1728"/>
          </w:tcPr>
          <w:p>
            <w:r>
              <w:t>$11,700.00</w:t>
            </w:r>
          </w:p>
        </w:tc>
      </w:tr>
      <w:tr>
        <w:tc>
          <w:tcPr>
            <w:tcW w:type="dxa" w:w="1728"/>
          </w:tcPr>
          <w:p>
            <w:r>
              <w:t>Auto loan</w:t>
            </w:r>
          </w:p>
        </w:tc>
        <w:tc>
          <w:tcPr>
            <w:tcW w:type="dxa" w:w="1728"/>
          </w:tcPr>
          <w:p>
            <w:r>
              <w:t>Suncoast Credit Union</w:t>
            </w:r>
          </w:p>
        </w:tc>
        <w:tc>
          <w:tcPr>
            <w:tcW w:type="dxa" w:w="1728"/>
          </w:tcPr>
          <w:p>
            <w:r>
              <w:t>6</w:t>
            </w:r>
          </w:p>
        </w:tc>
        <w:tc>
          <w:tcPr>
            <w:tcW w:type="dxa" w:w="1728"/>
          </w:tcPr>
          <w:p>
            <w:r>
              <w:t>$487.20</w:t>
            </w:r>
          </w:p>
        </w:tc>
        <w:tc>
          <w:tcPr>
            <w:tcW w:type="dxa" w:w="1728"/>
          </w:tcPr>
          <w:p>
            <w:r>
              <w:t>$2,923.20</w:t>
            </w:r>
          </w:p>
        </w:tc>
      </w:tr>
      <w:tr>
        <w:tc>
          <w:tcPr>
            <w:tcW w:type="dxa" w:w="1728"/>
          </w:tcPr>
          <w:p>
            <w:r>
              <w:t>Electricity</w:t>
            </w:r>
          </w:p>
        </w:tc>
        <w:tc>
          <w:tcPr>
            <w:tcW w:type="dxa" w:w="1728"/>
          </w:tcPr>
          <w:p>
            <w:r>
              <w:t>TECO Energy</w:t>
            </w:r>
          </w:p>
        </w:tc>
        <w:tc>
          <w:tcPr>
            <w:tcW w:type="dxa" w:w="1728"/>
          </w:tcPr>
          <w:p>
            <w:r>
              <w:t>6</w:t>
            </w:r>
          </w:p>
        </w:tc>
        <w:tc>
          <w:tcPr>
            <w:tcW w:type="dxa" w:w="1728"/>
          </w:tcPr>
          <w:p>
            <w:r>
              <w:t>$198.40 - $291.20</w:t>
            </w:r>
          </w:p>
        </w:tc>
        <w:tc>
          <w:tcPr>
            <w:tcW w:type="dxa" w:w="1728"/>
          </w:tcPr>
          <w:p>
            <w:r>
              <w:t>$1,489.05</w:t>
            </w:r>
          </w:p>
        </w:tc>
      </w:tr>
      <w:tr>
        <w:tc>
          <w:tcPr>
            <w:tcW w:type="dxa" w:w="1728"/>
          </w:tcPr>
          <w:p>
            <w:r>
              <w:t>Groceries (debit card)</w:t>
            </w:r>
          </w:p>
        </w:tc>
        <w:tc>
          <w:tcPr>
            <w:tcW w:type="dxa" w:w="1728"/>
          </w:tcPr>
          <w:p>
            <w:r>
              <w:t>Publix Super Market #0728</w:t>
            </w:r>
          </w:p>
        </w:tc>
        <w:tc>
          <w:tcPr>
            <w:tcW w:type="dxa" w:w="1728"/>
          </w:tcPr>
          <w:p>
            <w:r>
              <w:t>6</w:t>
            </w:r>
          </w:p>
        </w:tc>
        <w:tc>
          <w:tcPr>
            <w:tcW w:type="dxa" w:w="1728"/>
          </w:tcPr>
          <w:p>
            <w:r>
              <w:t>$391.64 - $447.85</w:t>
            </w:r>
          </w:p>
        </w:tc>
        <w:tc>
          <w:tcPr>
            <w:tcW w:type="dxa" w:w="1728"/>
          </w:tcPr>
          <w:p>
            <w:r>
              <w:t>$2,526.48</w:t>
            </w:r>
          </w:p>
        </w:tc>
      </w:tr>
      <w:tr>
        <w:tc>
          <w:tcPr>
            <w:tcW w:type="dxa" w:w="1728"/>
          </w:tcPr>
          <w:p>
            <w:r>
              <w:t>Auto insurance</w:t>
            </w:r>
          </w:p>
        </w:tc>
        <w:tc>
          <w:tcPr>
            <w:tcW w:type="dxa" w:w="1728"/>
          </w:tcPr>
          <w:p>
            <w:r>
              <w:t>Progressive Insurance</w:t>
            </w:r>
          </w:p>
        </w:tc>
        <w:tc>
          <w:tcPr>
            <w:tcW w:type="dxa" w:w="1728"/>
          </w:tcPr>
          <w:p>
            <w:r>
              <w:t>6</w:t>
            </w:r>
          </w:p>
        </w:tc>
        <w:tc>
          <w:tcPr>
            <w:tcW w:type="dxa" w:w="1728"/>
          </w:tcPr>
          <w:p>
            <w:r>
              <w:t>$168.45</w:t>
            </w:r>
          </w:p>
        </w:tc>
        <w:tc>
          <w:tcPr>
            <w:tcW w:type="dxa" w:w="1728"/>
          </w:tcPr>
          <w:p>
            <w:r>
              <w:t>$1,010.70</w:t>
            </w:r>
          </w:p>
        </w:tc>
      </w:tr>
      <w:tr>
        <w:tc>
          <w:tcPr>
            <w:tcW w:type="dxa" w:w="1728"/>
          </w:tcPr>
          <w:p>
            <w:r>
              <w:t>Credit card payment</w:t>
            </w:r>
          </w:p>
        </w:tc>
        <w:tc>
          <w:tcPr>
            <w:tcW w:type="dxa" w:w="1728"/>
          </w:tcPr>
          <w:p>
            <w:r>
              <w:t>Chase Card Services</w:t>
            </w:r>
          </w:p>
        </w:tc>
        <w:tc>
          <w:tcPr>
            <w:tcW w:type="dxa" w:w="1728"/>
          </w:tcPr>
          <w:p>
            <w:r>
              <w:t>6</w:t>
            </w:r>
          </w:p>
        </w:tc>
        <w:tc>
          <w:tcPr>
            <w:tcW w:type="dxa" w:w="1728"/>
          </w:tcPr>
          <w:p>
            <w:r>
              <w:t>$688.30 - $815.45</w:t>
            </w:r>
          </w:p>
        </w:tc>
        <w:tc>
          <w:tcPr>
            <w:tcW w:type="dxa" w:w="1728"/>
          </w:tcPr>
          <w:p>
            <w:r>
              <w:t>$4,452.55</w:t>
            </w:r>
          </w:p>
        </w:tc>
      </w:tr>
      <w:tr>
        <w:tc>
          <w:tcPr>
            <w:tcW w:type="dxa" w:w="1728"/>
          </w:tcPr>
          <w:p>
            <w:r>
              <w:rPr>
                <w:b/>
              </w:rPr>
              <w:t>Total living expenses</w:t>
            </w:r>
          </w:p>
        </w:tc>
        <w:tc>
          <w:tcPr>
            <w:tcW w:type="dxa" w:w="1728"/>
          </w:tcPr>
          <w:p>
            <w:r>
              <w:rPr>
                <w:b/>
              </w:rPr>
            </w:r>
          </w:p>
        </w:tc>
        <w:tc>
          <w:tcPr>
            <w:tcW w:type="dxa" w:w="1728"/>
          </w:tcPr>
          <w:p>
            <w:r>
              <w:rPr>
                <w:b/>
              </w:rPr>
              <w:t>36</w:t>
            </w:r>
          </w:p>
        </w:tc>
        <w:tc>
          <w:tcPr>
            <w:tcW w:type="dxa" w:w="1728"/>
          </w:tcPr>
          <w:p>
            <w:r>
              <w:rPr>
                <w:b/>
              </w:rPr>
            </w:r>
          </w:p>
        </w:tc>
        <w:tc>
          <w:tcPr>
            <w:tcW w:type="dxa" w:w="1728"/>
          </w:tcPr>
          <w:p>
            <w:r>
              <w:rPr>
                <w:b/>
              </w:rPr>
              <w:t>$24,101.98</w:t>
            </w:r>
          </w:p>
        </w:tc>
      </w:tr>
    </w:tbl>
    <w:p>
      <w:r>
        <w:t>Each incoming wire is followed by an outgoing wire to a different offshore jurisdiction within three to five days: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Pair</w:t>
            </w:r>
          </w:p>
        </w:tc>
        <w:tc>
          <w:tcPr>
            <w:tcW w:type="dxa" w:w="1728"/>
          </w:tcPr>
          <w:p>
            <w:r>
              <w:rPr>
                <w:b/>
              </w:rPr>
              <w:t>Incoming - date, amount, remitter (jurisdiction)</w:t>
            </w:r>
          </w:p>
        </w:tc>
        <w:tc>
          <w:tcPr>
            <w:tcW w:type="dxa" w:w="1728"/>
          </w:tcPr>
          <w:p>
            <w:r>
              <w:rPr>
                <w:b/>
              </w:rPr>
              <w:t>Outgoing - date, amount, beneficiary (jurisdiction)</w:t>
            </w:r>
          </w:p>
        </w:tc>
        <w:tc>
          <w:tcPr>
            <w:tcW w:type="dxa" w:w="1728"/>
          </w:tcPr>
          <w:p>
            <w:r>
              <w:rPr>
                <w:b/>
              </w:rPr>
              <w:t>Days</w:t>
            </w:r>
          </w:p>
        </w:tc>
        <w:tc>
          <w:tcPr>
            <w:tcW w:type="dxa" w:w="1728"/>
          </w:tcPr>
          <w:p>
            <w:r>
              <w:rPr>
                <w:b/>
              </w:rPr>
              <w:t>Retained</w:t>
            </w:r>
          </w:p>
        </w:tc>
      </w:tr>
      <w:tr>
        <w:tc>
          <w:tcPr>
            <w:tcW w:type="dxa" w:w="1728"/>
          </w:tcPr>
          <w:p>
            <w:r>
              <w:t>1</w:t>
            </w:r>
          </w:p>
        </w:tc>
        <w:tc>
          <w:tcPr>
            <w:tcW w:type="dxa" w:w="1728"/>
          </w:tcPr>
          <w:p>
            <w:r>
              <w:t>03/19/2026 - $12,400.00 - Nera Point Holdings Ltd (Seychelles)</w:t>
            </w:r>
          </w:p>
        </w:tc>
        <w:tc>
          <w:tcPr>
            <w:tcW w:type="dxa" w:w="1728"/>
          </w:tcPr>
          <w:p>
            <w:r>
              <w:t>03/24/2026 - $12,250.00 - Corozal Linden Partners Ltd (Belize)</w:t>
            </w:r>
          </w:p>
        </w:tc>
        <w:tc>
          <w:tcPr>
            <w:tcW w:type="dxa" w:w="1728"/>
          </w:tcPr>
          <w:p>
            <w:r>
              <w:t>5</w:t>
            </w:r>
          </w:p>
        </w:tc>
        <w:tc>
          <w:tcPr>
            <w:tcW w:type="dxa" w:w="1728"/>
          </w:tcPr>
          <w:p>
            <w:r>
              <w:t>$150.00</w:t>
            </w:r>
          </w:p>
        </w:tc>
      </w:tr>
      <w:tr>
        <w:tc>
          <w:tcPr>
            <w:tcW w:type="dxa" w:w="1728"/>
          </w:tcPr>
          <w:p>
            <w:r>
              <w:t>2</w:t>
            </w:r>
          </w:p>
        </w:tc>
        <w:tc>
          <w:tcPr>
            <w:tcW w:type="dxa" w:w="1728"/>
          </w:tcPr>
          <w:p>
            <w:r>
              <w:t>05/14/2026 - $11,800.00 - Ardenne Vale Trading Ltd (Seychelles)</w:t>
            </w:r>
          </w:p>
        </w:tc>
        <w:tc>
          <w:tcPr>
            <w:tcW w:type="dxa" w:w="1728"/>
          </w:tcPr>
          <w:p>
            <w:r>
              <w:t>05/19/2026 - $11,650.00 - Westhaven Cay Ltd (St Kitts and Nevis)</w:t>
            </w:r>
          </w:p>
        </w:tc>
        <w:tc>
          <w:tcPr>
            <w:tcW w:type="dxa" w:w="1728"/>
          </w:tcPr>
          <w:p>
            <w:r>
              <w:t>5</w:t>
            </w:r>
          </w:p>
        </w:tc>
        <w:tc>
          <w:tcPr>
            <w:tcW w:type="dxa" w:w="1728"/>
          </w:tcPr>
          <w:p>
            <w:r>
              <w:t>$150.00</w:t>
            </w:r>
          </w:p>
        </w:tc>
      </w:tr>
      <w:tr>
        <w:tc>
          <w:tcPr>
            <w:tcW w:type="dxa" w:w="1728"/>
          </w:tcPr>
          <w:p>
            <w:r>
              <w:t>3</w:t>
            </w:r>
          </w:p>
        </w:tc>
        <w:tc>
          <w:tcPr>
            <w:tcW w:type="dxa" w:w="1728"/>
          </w:tcPr>
          <w:p>
            <w:r>
              <w:t>07/21/2026 - $12,950.00 - Solmere Pacific Ltd (Seychelles)</w:t>
            </w:r>
          </w:p>
        </w:tc>
        <w:tc>
          <w:tcPr>
            <w:tcW w:type="dxa" w:w="1728"/>
          </w:tcPr>
          <w:p>
            <w:r>
              <w:t>07/24/2026 - $12,800.00 - Calderon Reef Trading Ltd (Belize)</w:t>
            </w:r>
          </w:p>
        </w:tc>
        <w:tc>
          <w:tcPr>
            <w:tcW w:type="dxa" w:w="1728"/>
          </w:tcPr>
          <w:p>
            <w:r>
              <w:t>3</w:t>
            </w:r>
          </w:p>
        </w:tc>
        <w:tc>
          <w:tcPr>
            <w:tcW w:type="dxa" w:w="1728"/>
          </w:tcPr>
          <w:p>
            <w:r>
              <w:t>$150.00</w:t>
            </w:r>
          </w:p>
        </w:tc>
      </w:tr>
      <w:tr>
        <w:tc>
          <w:tcPr>
            <w:tcW w:type="dxa" w:w="1728"/>
          </w:tcPr>
          <w:p>
            <w:r>
              <w:rPr>
                <w:b/>
              </w:rPr>
              <w:t>Total</w:t>
            </w:r>
          </w:p>
        </w:tc>
        <w:tc>
          <w:tcPr>
            <w:tcW w:type="dxa" w:w="1728"/>
          </w:tcPr>
          <w:p>
            <w:r>
              <w:rPr>
                <w:b/>
              </w:rPr>
              <w:t>$37,150.00</w:t>
            </w:r>
          </w:p>
        </w:tc>
        <w:tc>
          <w:tcPr>
            <w:tcW w:type="dxa" w:w="1728"/>
          </w:tcPr>
          <w:p>
            <w:r>
              <w:rPr>
                <w:b/>
              </w:rPr>
              <w:t>$36,700.00</w:t>
            </w:r>
          </w:p>
        </w:tc>
        <w:tc>
          <w:tcPr>
            <w:tcW w:type="dxa" w:w="1728"/>
          </w:tcPr>
          <w:p>
            <w:r>
              <w:rPr>
                <w:b/>
              </w:rPr>
            </w:r>
          </w:p>
        </w:tc>
        <w:tc>
          <w:tcPr>
            <w:tcW w:type="dxa" w:w="1728"/>
          </w:tcPr>
          <w:p>
            <w:r>
              <w:rPr>
                <w:b/>
              </w:rPr>
              <w:t>$450.00</w:t>
            </w:r>
          </w:p>
        </w:tc>
      </w:tr>
    </w:tbl>
    <w:p>
      <w:r>
        <w:t>None of the six counterparties has a corporate registry entry, website, domain or any other public footprint, so neither the remitting nor the receiving parties can be identified. The stated purposes - "Consulting Retainer", "Contract Advance", "Service Fee Remittance", "Project Settlement", "Advance Payment" and "Equipment Settlement" - are commercial, and no business is recorded for the customer.</w:t>
      </w:r>
    </w:p>
    <w:p>
      <w:r>
        <w:t>The Red Flags:</w:t>
      </w:r>
    </w:p>
    <w:p>
      <w:pPr>
        <w:pStyle w:val="ListBullet"/>
      </w:pPr>
      <w:r>
        <w:t>Funds Unrelated to the Recorded Income: The only income on file is payroll of approximately $4,600 per month; $37,150.00 arrived from offshore entities with no recorded connection to the customer.</w:t>
      </w:r>
    </w:p>
    <w:p>
      <w:pPr>
        <w:pStyle w:val="ListBullet"/>
      </w:pPr>
      <w:r>
        <w:t>Offshore to Offshore: Funds are received from entities in the Seychelles and forwarded to entities in Belize and St Kitts and Nevis - all offshore financial centres.</w:t>
      </w:r>
    </w:p>
    <w:p>
      <w:pPr>
        <w:pStyle w:val="ListBullet"/>
      </w:pPr>
      <w:r>
        <w:t>Unidentifiable Counterparties: No corporate registry record, website or domain exists for any of the six entities on either side.</w:t>
      </w:r>
    </w:p>
    <w:p>
      <w:pPr>
        <w:pStyle w:val="ListBullet"/>
      </w:pPr>
      <w:r>
        <w:t>Rapid Pass-Through: Each credit leaves the account within three to five days, with $150.00 retained each time - $450.00 in total over six months.</w:t>
      </w:r>
    </w:p>
    <w:p>
      <w:pPr>
        <w:pStyle w:val="ListBullet"/>
      </w:pPr>
      <w:r>
        <w:t>No Household Use: Living expenses of $24,101.98 over six months are covered by payroll of $27,779.51. None of the wire funds is applied to any living cost.</w:t>
      </w:r>
    </w:p>
    <w:p>
      <w:pPr>
        <w:pStyle w:val="ListBullet"/>
      </w:pPr>
      <w:r>
        <w:t>Narrations Inconsistent with the Profile: Commercial purposes such as "Consulting Retainer" and "Equipment Settlement" have no basis in a file that records only salaried employment.</w:t>
      </w:r>
    </w:p>
    <w:p>
      <w:pPr>
        <w:pStyle w:val="ListBullet"/>
      </w:pPr>
      <w:r>
        <w:t>No Supporting Documentation: The bank holds no invoice, contract or consultancy agreement supporting any of the six wires.</w:t>
      </w:r>
    </w:p>
    <w:p>
      <w:pPr>
        <w:pStyle w:val="Heading3"/>
      </w:pPr>
      <w:r>
        <w:t>4. Conclusion for the Case Study</w:t>
      </w:r>
    </w:p>
    <w:p>
      <w:pPr>
        <w:pStyle w:val="ListBullet"/>
      </w:pPr>
      <w:r>
        <w:t>The Verdict: This is a Suspicious Activity Report (SAR) filing on international wire activity with no apparent economic or lawful purpose.</w:t>
      </w:r>
    </w:p>
    <w:p>
      <w:pPr>
        <w:pStyle w:val="ListBullet"/>
      </w:pPr>
      <w:r>
        <w:t>Amount involved: the SAR is completed on the $37,150.00 of incoming wire funds received into the account; the $36,700.00 of outgoing wires is the same money leaving and is described in the narrative rather than added to the reported amount.</w:t>
      </w:r>
    </w:p>
    <w:p>
      <w:pPr>
        <w:pStyle w:val="ListBullet"/>
      </w:pPr>
      <w:r>
        <w:t>Date range: 03/19/2026 to 07/24/2026 - the first and last suspicious transaction dates, not the review period and not the case open date.</w:t>
      </w:r>
    </w:p>
    <w:p>
      <w:pPr>
        <w:pStyle w:val="ListBullet"/>
      </w:pPr>
      <w:r>
        <w:t>The Lesson: A clean, entirely explainable salary-and-bills account does not make the six transactions that do not fit it any less suspicious. The account is otherwise ordinary, which is what makes the pass-through stand out.</w:t>
      </w:r>
    </w:p>
    <w:p>
      <w:r>
        <w:t>Key takeaways are:</w:t>
      </w:r>
    </w:p>
    <w:p>
      <w:pPr>
        <w:pStyle w:val="ListBullet"/>
      </w:pPr>
      <w:r>
        <w:t>A fully documented, unremarkable income and expense pattern is the baseline - anything outside it must be explained, not averaged away.</w:t>
      </w:r>
    </w:p>
    <w:p>
      <w:pPr>
        <w:pStyle w:val="ListBullet"/>
      </w:pPr>
      <w:r>
        <w:t>Funds arriving from one offshore jurisdiction and leaving for another within days, with a small residual retained, is a pass-through pattern regardless of how few transactions are involved. Six transactions are enough.</w:t>
      </w:r>
    </w:p>
    <w:p>
      <w:pPr>
        <w:pStyle w:val="ListBullet"/>
      </w:pPr>
      <w:r>
        <w:t>A counterparty with no verifiable public or corporate presence is itself a red flag - the inability to identify the counterparty is evidence, not a gap to be excused.</w:t>
      </w:r>
    </w:p>
    <w:p>
      <w:pPr>
        <w:pStyle w:val="ListBullet"/>
      </w:pPr>
      <w:r>
        <w:t>When transaction narrations describe a business the customer does not have, treat them as a smokescreen rather than an explanation.</w:t>
      </w:r>
    </w:p>
    <w:p>
      <w:pPr>
        <w:pStyle w:val="ListBullet"/>
      </w:pPr>
      <w:r>
        <w:t>Discussion Question: "Only 6 of the 48 transactions are alerted, and the other 42 are fully explained by payroll and household bills. Why must the payroll and living expenses still be described in the SAR narrative?" (Answer: they establish the customer’s baseline and demonstrate that the wire funds served no personal purpose; without them the reader cannot see that the money simply passed through.)</w:t>
      </w:r>
    </w:p>
    <w:sectPr w:rsidR="009F58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40686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744173"/>
    <w:multiLevelType w:val="hybridMultilevel"/>
    <w:tmpl w:val="74FA2652"/>
    <w:lvl w:ilvl="0" w:tplc="7A9402CC">
      <w:start w:val="1"/>
      <w:numFmt w:val="bullet"/>
      <w:lvlText w:val="·"/>
      <w:lvlJc w:val="left"/>
      <w:pPr>
        <w:ind w:left="720" w:hanging="360"/>
      </w:pPr>
      <w:rPr>
        <w:rFonts w:ascii="Symbol" w:hAnsi="Symbol" w:hint="default"/>
      </w:rPr>
    </w:lvl>
    <w:lvl w:ilvl="1" w:tplc="87203CC8">
      <w:start w:val="1"/>
      <w:numFmt w:val="bullet"/>
      <w:lvlText w:val="o"/>
      <w:lvlJc w:val="left"/>
      <w:pPr>
        <w:ind w:left="1440" w:hanging="360"/>
      </w:pPr>
      <w:rPr>
        <w:rFonts w:ascii="Courier New" w:hAnsi="Courier New" w:hint="default"/>
      </w:rPr>
    </w:lvl>
    <w:lvl w:ilvl="2" w:tplc="218EC29E">
      <w:start w:val="1"/>
      <w:numFmt w:val="bullet"/>
      <w:lvlText w:val=""/>
      <w:lvlJc w:val="left"/>
      <w:pPr>
        <w:ind w:left="2160" w:hanging="360"/>
      </w:pPr>
      <w:rPr>
        <w:rFonts w:ascii="Wingdings" w:hAnsi="Wingdings" w:hint="default"/>
      </w:rPr>
    </w:lvl>
    <w:lvl w:ilvl="3" w:tplc="A6861400">
      <w:start w:val="1"/>
      <w:numFmt w:val="bullet"/>
      <w:lvlText w:val=""/>
      <w:lvlJc w:val="left"/>
      <w:pPr>
        <w:ind w:left="2880" w:hanging="360"/>
      </w:pPr>
      <w:rPr>
        <w:rFonts w:ascii="Symbol" w:hAnsi="Symbol" w:hint="default"/>
      </w:rPr>
    </w:lvl>
    <w:lvl w:ilvl="4" w:tplc="C3F4F822">
      <w:start w:val="1"/>
      <w:numFmt w:val="bullet"/>
      <w:lvlText w:val="o"/>
      <w:lvlJc w:val="left"/>
      <w:pPr>
        <w:ind w:left="3600" w:hanging="360"/>
      </w:pPr>
      <w:rPr>
        <w:rFonts w:ascii="Courier New" w:hAnsi="Courier New" w:hint="default"/>
      </w:rPr>
    </w:lvl>
    <w:lvl w:ilvl="5" w:tplc="D930BA6C">
      <w:start w:val="1"/>
      <w:numFmt w:val="bullet"/>
      <w:lvlText w:val=""/>
      <w:lvlJc w:val="left"/>
      <w:pPr>
        <w:ind w:left="4320" w:hanging="360"/>
      </w:pPr>
      <w:rPr>
        <w:rFonts w:ascii="Wingdings" w:hAnsi="Wingdings" w:hint="default"/>
      </w:rPr>
    </w:lvl>
    <w:lvl w:ilvl="6" w:tplc="5C267144">
      <w:start w:val="1"/>
      <w:numFmt w:val="bullet"/>
      <w:lvlText w:val=""/>
      <w:lvlJc w:val="left"/>
      <w:pPr>
        <w:ind w:left="5040" w:hanging="360"/>
      </w:pPr>
      <w:rPr>
        <w:rFonts w:ascii="Symbol" w:hAnsi="Symbol" w:hint="default"/>
      </w:rPr>
    </w:lvl>
    <w:lvl w:ilvl="7" w:tplc="D0888FF4">
      <w:start w:val="1"/>
      <w:numFmt w:val="bullet"/>
      <w:lvlText w:val="o"/>
      <w:lvlJc w:val="left"/>
      <w:pPr>
        <w:ind w:left="5760" w:hanging="360"/>
      </w:pPr>
      <w:rPr>
        <w:rFonts w:ascii="Courier New" w:hAnsi="Courier New" w:hint="default"/>
      </w:rPr>
    </w:lvl>
    <w:lvl w:ilvl="8" w:tplc="ED823CC8">
      <w:start w:val="1"/>
      <w:numFmt w:val="bullet"/>
      <w:lvlText w:val=""/>
      <w:lvlJc w:val="left"/>
      <w:pPr>
        <w:ind w:left="6480" w:hanging="360"/>
      </w:pPr>
      <w:rPr>
        <w:rFonts w:ascii="Wingdings" w:hAnsi="Wingdings" w:hint="default"/>
      </w:rPr>
    </w:lvl>
  </w:abstractNum>
  <w:abstractNum w:abstractNumId="10" w15:restartNumberingAfterBreak="0">
    <w:nsid w:val="5491B516"/>
    <w:multiLevelType w:val="hybridMultilevel"/>
    <w:tmpl w:val="E43A0296"/>
    <w:lvl w:ilvl="0" w:tplc="75BE9304">
      <w:start w:val="1"/>
      <w:numFmt w:val="bullet"/>
      <w:lvlText w:val="·"/>
      <w:lvlJc w:val="left"/>
      <w:pPr>
        <w:ind w:left="720" w:hanging="360"/>
      </w:pPr>
      <w:rPr>
        <w:rFonts w:ascii="Symbol" w:hAnsi="Symbol" w:hint="default"/>
      </w:rPr>
    </w:lvl>
    <w:lvl w:ilvl="1" w:tplc="8E3AE976">
      <w:start w:val="1"/>
      <w:numFmt w:val="bullet"/>
      <w:lvlText w:val="o"/>
      <w:lvlJc w:val="left"/>
      <w:pPr>
        <w:ind w:left="1440" w:hanging="360"/>
      </w:pPr>
      <w:rPr>
        <w:rFonts w:ascii="Courier New" w:hAnsi="Courier New" w:hint="default"/>
      </w:rPr>
    </w:lvl>
    <w:lvl w:ilvl="2" w:tplc="F7D8CBD8">
      <w:start w:val="1"/>
      <w:numFmt w:val="bullet"/>
      <w:lvlText w:val=""/>
      <w:lvlJc w:val="left"/>
      <w:pPr>
        <w:ind w:left="2160" w:hanging="360"/>
      </w:pPr>
      <w:rPr>
        <w:rFonts w:ascii="Wingdings" w:hAnsi="Wingdings" w:hint="default"/>
      </w:rPr>
    </w:lvl>
    <w:lvl w:ilvl="3" w:tplc="CA10740E">
      <w:start w:val="1"/>
      <w:numFmt w:val="bullet"/>
      <w:lvlText w:val=""/>
      <w:lvlJc w:val="left"/>
      <w:pPr>
        <w:ind w:left="2880" w:hanging="360"/>
      </w:pPr>
      <w:rPr>
        <w:rFonts w:ascii="Symbol" w:hAnsi="Symbol" w:hint="default"/>
      </w:rPr>
    </w:lvl>
    <w:lvl w:ilvl="4" w:tplc="D5B4DEC6">
      <w:start w:val="1"/>
      <w:numFmt w:val="bullet"/>
      <w:lvlText w:val="o"/>
      <w:lvlJc w:val="left"/>
      <w:pPr>
        <w:ind w:left="3600" w:hanging="360"/>
      </w:pPr>
      <w:rPr>
        <w:rFonts w:ascii="Courier New" w:hAnsi="Courier New" w:hint="default"/>
      </w:rPr>
    </w:lvl>
    <w:lvl w:ilvl="5" w:tplc="EBD2952A">
      <w:start w:val="1"/>
      <w:numFmt w:val="bullet"/>
      <w:lvlText w:val=""/>
      <w:lvlJc w:val="left"/>
      <w:pPr>
        <w:ind w:left="4320" w:hanging="360"/>
      </w:pPr>
      <w:rPr>
        <w:rFonts w:ascii="Wingdings" w:hAnsi="Wingdings" w:hint="default"/>
      </w:rPr>
    </w:lvl>
    <w:lvl w:ilvl="6" w:tplc="0F58063E">
      <w:start w:val="1"/>
      <w:numFmt w:val="bullet"/>
      <w:lvlText w:val=""/>
      <w:lvlJc w:val="left"/>
      <w:pPr>
        <w:ind w:left="5040" w:hanging="360"/>
      </w:pPr>
      <w:rPr>
        <w:rFonts w:ascii="Symbol" w:hAnsi="Symbol" w:hint="default"/>
      </w:rPr>
    </w:lvl>
    <w:lvl w:ilvl="7" w:tplc="F86AC04A">
      <w:start w:val="1"/>
      <w:numFmt w:val="bullet"/>
      <w:lvlText w:val="o"/>
      <w:lvlJc w:val="left"/>
      <w:pPr>
        <w:ind w:left="5760" w:hanging="360"/>
      </w:pPr>
      <w:rPr>
        <w:rFonts w:ascii="Courier New" w:hAnsi="Courier New" w:hint="default"/>
      </w:rPr>
    </w:lvl>
    <w:lvl w:ilvl="8" w:tplc="61C056DE">
      <w:start w:val="1"/>
      <w:numFmt w:val="bullet"/>
      <w:lvlText w:val=""/>
      <w:lvlJc w:val="left"/>
      <w:pPr>
        <w:ind w:left="6480" w:hanging="360"/>
      </w:pPr>
      <w:rPr>
        <w:rFonts w:ascii="Wingdings" w:hAnsi="Wingdings" w:hint="default"/>
      </w:rPr>
    </w:lvl>
  </w:abstractNum>
  <w:abstractNum w:abstractNumId="11" w15:restartNumberingAfterBreak="0">
    <w:nsid w:val="569E0E7C"/>
    <w:multiLevelType w:val="hybridMultilevel"/>
    <w:tmpl w:val="13226A70"/>
    <w:lvl w:ilvl="0" w:tplc="CE9E1C38">
      <w:start w:val="1"/>
      <w:numFmt w:val="decimal"/>
      <w:lvlText w:val="%1."/>
      <w:lvlJc w:val="left"/>
      <w:pPr>
        <w:ind w:left="720" w:hanging="360"/>
      </w:pPr>
    </w:lvl>
    <w:lvl w:ilvl="1" w:tplc="DBACF1E0">
      <w:start w:val="1"/>
      <w:numFmt w:val="lowerLetter"/>
      <w:lvlText w:val="%2."/>
      <w:lvlJc w:val="left"/>
      <w:pPr>
        <w:ind w:left="1440" w:hanging="360"/>
      </w:pPr>
    </w:lvl>
    <w:lvl w:ilvl="2" w:tplc="DD361994">
      <w:start w:val="1"/>
      <w:numFmt w:val="lowerRoman"/>
      <w:lvlText w:val="%3."/>
      <w:lvlJc w:val="right"/>
      <w:pPr>
        <w:ind w:left="2160" w:hanging="180"/>
      </w:pPr>
    </w:lvl>
    <w:lvl w:ilvl="3" w:tplc="B630C3D6">
      <w:start w:val="1"/>
      <w:numFmt w:val="decimal"/>
      <w:lvlText w:val="%4."/>
      <w:lvlJc w:val="left"/>
      <w:pPr>
        <w:ind w:left="2880" w:hanging="360"/>
      </w:pPr>
    </w:lvl>
    <w:lvl w:ilvl="4" w:tplc="8842E440">
      <w:start w:val="1"/>
      <w:numFmt w:val="lowerLetter"/>
      <w:lvlText w:val="%5."/>
      <w:lvlJc w:val="left"/>
      <w:pPr>
        <w:ind w:left="3600" w:hanging="360"/>
      </w:pPr>
    </w:lvl>
    <w:lvl w:ilvl="5" w:tplc="2B68932A">
      <w:start w:val="1"/>
      <w:numFmt w:val="lowerRoman"/>
      <w:lvlText w:val="%6."/>
      <w:lvlJc w:val="right"/>
      <w:pPr>
        <w:ind w:left="4320" w:hanging="180"/>
      </w:pPr>
    </w:lvl>
    <w:lvl w:ilvl="6" w:tplc="19BEFF32">
      <w:start w:val="1"/>
      <w:numFmt w:val="decimal"/>
      <w:lvlText w:val="%7."/>
      <w:lvlJc w:val="left"/>
      <w:pPr>
        <w:ind w:left="5040" w:hanging="360"/>
      </w:pPr>
    </w:lvl>
    <w:lvl w:ilvl="7" w:tplc="C218A592">
      <w:start w:val="1"/>
      <w:numFmt w:val="lowerLetter"/>
      <w:lvlText w:val="%8."/>
      <w:lvlJc w:val="left"/>
      <w:pPr>
        <w:ind w:left="5760" w:hanging="360"/>
      </w:pPr>
    </w:lvl>
    <w:lvl w:ilvl="8" w:tplc="5FB4E290">
      <w:start w:val="1"/>
      <w:numFmt w:val="lowerRoman"/>
      <w:lvlText w:val="%9."/>
      <w:lvlJc w:val="right"/>
      <w:pPr>
        <w:ind w:left="6480" w:hanging="180"/>
      </w:pPr>
    </w:lvl>
  </w:abstractNum>
  <w:num w:numId="1" w16cid:durableId="1376663660">
    <w:abstractNumId w:val="10"/>
  </w:num>
  <w:num w:numId="2" w16cid:durableId="533005916">
    <w:abstractNumId w:val="11"/>
  </w:num>
  <w:num w:numId="3" w16cid:durableId="850068737">
    <w:abstractNumId w:val="9"/>
  </w:num>
  <w:num w:numId="4" w16cid:durableId="1235506466">
    <w:abstractNumId w:val="8"/>
  </w:num>
  <w:num w:numId="5" w16cid:durableId="1076635934">
    <w:abstractNumId w:val="6"/>
  </w:num>
  <w:num w:numId="6" w16cid:durableId="389228269">
    <w:abstractNumId w:val="5"/>
  </w:num>
  <w:num w:numId="7" w16cid:durableId="432676883">
    <w:abstractNumId w:val="4"/>
  </w:num>
  <w:num w:numId="8" w16cid:durableId="1251894360">
    <w:abstractNumId w:val="7"/>
  </w:num>
  <w:num w:numId="9" w16cid:durableId="597099885">
    <w:abstractNumId w:val="3"/>
  </w:num>
  <w:num w:numId="10" w16cid:durableId="388696323">
    <w:abstractNumId w:val="2"/>
  </w:num>
  <w:num w:numId="11" w16cid:durableId="1534927903">
    <w:abstractNumId w:val="1"/>
  </w:num>
  <w:num w:numId="12" w16cid:durableId="1518696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6A2"/>
    <w:rsid w:val="000F23D3"/>
    <w:rsid w:val="00131C8A"/>
    <w:rsid w:val="0015074B"/>
    <w:rsid w:val="00185A01"/>
    <w:rsid w:val="0029639D"/>
    <w:rsid w:val="00326F90"/>
    <w:rsid w:val="00473506"/>
    <w:rsid w:val="006410C9"/>
    <w:rsid w:val="00680F42"/>
    <w:rsid w:val="006A1C6B"/>
    <w:rsid w:val="007759E4"/>
    <w:rsid w:val="007E16DF"/>
    <w:rsid w:val="009F580A"/>
    <w:rsid w:val="00A202D2"/>
    <w:rsid w:val="00A46BC8"/>
    <w:rsid w:val="00AA1D8D"/>
    <w:rsid w:val="00B47730"/>
    <w:rsid w:val="00B553F3"/>
    <w:rsid w:val="00BE2060"/>
    <w:rsid w:val="00BE77A0"/>
    <w:rsid w:val="00CB0664"/>
    <w:rsid w:val="00CB6A3D"/>
    <w:rsid w:val="00CD7EB6"/>
    <w:rsid w:val="00EB67A6"/>
    <w:rsid w:val="00FC693F"/>
    <w:rsid w:val="240FF933"/>
    <w:rsid w:val="3909DCC2"/>
    <w:rsid w:val="411C8752"/>
    <w:rsid w:val="45199465"/>
    <w:rsid w:val="4C7D95B6"/>
    <w:rsid w:val="51F5B165"/>
    <w:rsid w:val="6252B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63A13"/>
  <w14:defaultImageDpi w14:val="300"/>
  <w15:docId w15:val="{ECD8E33D-49C4-4FDB-A254-93C8ECF0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8B24D870E2CF4480FB58B8A4C8E582" ma:contentTypeVersion="3" ma:contentTypeDescription="Create a new document." ma:contentTypeScope="" ma:versionID="22d3030a0d7f1392f4e6226949aaf978">
  <xsd:schema xmlns:xsd="http://www.w3.org/2001/XMLSchema" xmlns:xs="http://www.w3.org/2001/XMLSchema" xmlns:p="http://schemas.microsoft.com/office/2006/metadata/properties" xmlns:ns2="9b7a0682-08ca-4e5a-a35e-d8d8ffefe728" targetNamespace="http://schemas.microsoft.com/office/2006/metadata/properties" ma:root="true" ma:fieldsID="c3d8606d6a6666a08a669719a982e26f" ns2:_="">
    <xsd:import namespace="9b7a0682-08ca-4e5a-a35e-d8d8ffefe72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a0682-08ca-4e5a-a35e-d8d8ffefe7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7789A6D-CD40-425B-B15A-4F6BA2942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a0682-08ca-4e5a-a35e-d8d8ffefe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CBA4FB-33D0-433A-B572-11809CFC4D67}">
  <ds:schemaRefs>
    <ds:schemaRef ds:uri="http://schemas.microsoft.com/sharepoint/v3/contenttype/forms"/>
  </ds:schemaRefs>
</ds:datastoreItem>
</file>

<file path=customXml/itemProps4.xml><?xml version="1.0" encoding="utf-8"?>
<ds:datastoreItem xmlns:ds="http://schemas.openxmlformats.org/officeDocument/2006/customXml" ds:itemID="{14570BA0-4E80-4301-AA96-D2D095BCED1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1035</Words>
  <Characters>5530</Characters>
  <Application>Microsoft Office Word</Application>
  <DocSecurity>0</DocSecurity>
  <Lines>240</Lines>
  <Paragraphs>119</Paragraphs>
  <ScaleCrop>false</ScaleCrop>
  <Manager/>
  <Company/>
  <LinksUpToDate>false</LinksUpToDate>
  <CharactersWithSpaces>6446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t23977</cp:lastModifiedBy>
  <cp:revision>2</cp:revision>
  <dcterms:created xsi:type="dcterms:W3CDTF">2026-09-21T03:47:00Z</dcterms:created>
  <dcterms:modified xsi:type="dcterms:W3CDTF">2026-09-21T03:47:00Z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0x010100248B24D870E2CF4480FB58B8A4C8E582</vt:lpwstr>
  </property>
</Properties>
</file>