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CARTOGRAFIERE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Te uiți la un tabel întreg. Jumătate din el trăiește în alte tabele.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 și cu ce roluri. Relațiile există deja. Noi doar le facem vizibile.</w:t>
      </w:r>
    </w:p>
    <w:p>
      <w:pPr>
        <w:spacing w:before="200" w:after="80"/>
      </w:pPr>
      <w:r>
        <w:rPr>
          <w:b/>
          <w:sz w:val="26"/>
        </w:rPr>
        <w:t>AHA (INSIGHT)</w:t>
      </w:r>
    </w:p>
    <w:p>
      <w:pPr>
        <w:spacing w:after="80"/>
      </w:pPr>
      <w:r>
        <w:rPr>
          <w:rFonts w:ascii="Calibri" w:hAnsi="Calibri"/>
          <w:sz w:val="20"/>
        </w:rPr>
        <w:t>Cele mai importante date despre un rând nu sunt în rând.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aducem contextul. Il localizam.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Un tabel izolat nu explica nimic. Cu contextul localizat, incepe sa vorbeasca.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cartografiat. Apoi orice analiza de context.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Harta ecosistemului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Harta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