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CLASIFICAREA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este structural curat. Acum il intrebam ce contine.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face inventarul CALITATIV: cate etichete distincte pe coloana, dictionarul exhaustiv, granularitatea atomica, tipologia coloanelor (cardinalitate mica vs mare).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cunoscut.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tabel. Astăzi am aflat din ce categorii e de fapt făcut.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etichetă presupusă nu este o etichetă confirmată. COUNTUNIQUE și COUNTIF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coloană de text. De data asta, știu fiecare categorie din ea.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Constructia 05 CLASIFICAREA DATELOR preia tabelul predat de constructia precedenta. C04 a normalizat tabelul. C05 face inventarul CALITATIV: cate etichete distincte pe coloana, dictionarul exhaustiv, granularitatea atomica, tipologia coloanelor (cardinalitate mica vs mare).</w:t>
      </w:r>
    </w:p>
    <w:p>
      <w:pPr>
        <w:spacing w:after="80"/>
      </w:pPr>
      <w:r>
        <w:rPr>
          <w:rFonts w:ascii="Calibri" w:hAnsi="Calibri"/>
          <w:sz w:val="20"/>
        </w:rPr>
        <w:t>Inventar de etichete + profil structural complet. 15 clienti, 4 categorii produs, 12 cantitati.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= 97.5% din volum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CLASIFICAREA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