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Obținem o structură pe care Excel o poate înțelege, verifica și reutiliza. Orice calcul construit deasupra pornește de pe o fundație controlabilă.</w:t>
      </w:r>
    </w:p>
    <w:p>
      <w:pPr>
        <w:spacing w:before="200" w:after="80"/>
      </w:pPr>
      <w:r>
        <w:rPr>
          <w:b/>
          <w:color w:val="000000"/>
          <w:sz w:val="26"/>
        </w:rPr>
        <w:t>MANTRA · TRAINITY</w:t>
      </w:r>
    </w:p>
    <w:p>
      <w:pPr>
        <w:spacing w:after="80"/>
      </w:pPr>
      <w:r>
        <w:rPr>
          <w:rFonts w:ascii="Calibri" w:hAnsi="Calibri"/>
          <w:sz w:val="20"/>
        </w:rPr>
        <w:t>Înainte de orice calcul, structura.</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w:t>
      </w:r>
    </w:p>
    <w:p>
      <w:pPr>
        <w:spacing w:after="80"/>
      </w:pPr>
      <w:r>
        <w:rPr>
          <w:rFonts w:ascii="Calibri" w:hAnsi="Calibri"/>
          <w:sz w:val="20"/>
        </w:rPr>
        <w:t>Nu reconstruim tabelul. Îl facem controlabil.</w:t>
      </w:r>
    </w:p>
    <w:p>
      <w:r>
        <w:rPr>
          <w:b/>
          <w:color w:val="000000"/>
          <w:sz w:val="32"/>
        </w:rPr>
        <w:t>ARSENAL NARATIV</w:t>
      </w:r>
    </w:p>
    <w:p>
      <w:pPr>
        <w:spacing w:before="200" w:after="80"/>
      </w:pPr>
      <w:r>
        <w:rPr>
          <w:b/>
          <w:color w:val="000000"/>
          <w:sz w:val="26"/>
        </w:rPr>
        <w:t>SIMPTOM ÎN BUSINESS</w:t>
      </w:r>
    </w:p>
    <w:p>
      <w:pPr>
        <w:spacing w:after="80"/>
      </w:pPr>
      <w:r>
        <w:rPr>
          <w:rFonts w:ascii="Calibri" w:hAnsi="Calibri"/>
          <w:sz w:val="20"/>
        </w:rPr>
        <w:t>• rapoarte diferite pe același fișier</w:t>
      </w:r>
    </w:p>
    <w:p>
      <w:pPr>
        <w:spacing w:after="80"/>
      </w:pPr>
      <w:r>
        <w:rPr>
          <w:rFonts w:ascii="Calibri" w:hAnsi="Calibri"/>
          <w:sz w:val="20"/>
        </w:rPr>
        <w:t>• sume care nu coincid de la o filtrare la alta</w:t>
      </w:r>
    </w:p>
    <w:p>
      <w:pPr>
        <w:spacing w:after="80"/>
      </w:pPr>
      <w:r>
        <w:rPr>
          <w:rFonts w:ascii="Calibri" w:hAnsi="Calibri"/>
          <w:sz w:val="20"/>
        </w:rPr>
        <w:t>• filtre care ascund tranzacții fără să te avertizeze</w:t>
      </w:r>
    </w:p>
    <w:p>
      <w:pPr>
        <w:spacing w:after="80"/>
      </w:pPr>
      <w:r>
        <w:rPr>
          <w:rFonts w:ascii="Calibri" w:hAnsi="Calibri"/>
          <w:sz w:val="20"/>
        </w:rPr>
        <w:t>• un total general numărat ca rând de date</w:t>
      </w:r>
    </w:p>
    <w:p>
      <w:pPr>
        <w:spacing w:before="200" w:after="80"/>
      </w:pPr>
      <w:r>
        <w:rPr>
          <w:b/>
          <w:color w:val="000000"/>
          <w:sz w:val="26"/>
        </w:rPr>
        <w:t>GREȘEALA CLASICĂ</w:t>
      </w:r>
    </w:p>
    <w:p>
      <w:pPr>
        <w:spacing w:after="80"/>
      </w:pPr>
      <w:r>
        <w:rPr>
          <w:rFonts w:ascii="Calibri" w:hAnsi="Calibri"/>
          <w:sz w:val="20"/>
        </w:rPr>
        <w:t>Oamenii încep cu formulele. Profesioniștii încep cu structura.</w:t>
      </w:r>
    </w:p>
    <w:p>
      <w:pPr>
        <w:spacing w:before="200" w:after="80"/>
      </w:pPr>
      <w:r>
        <w:rPr>
          <w:b/>
          <w:color w:val="000000"/>
          <w:sz w:val="26"/>
        </w:rPr>
        <w:t>AHA MOMENT</w:t>
      </w:r>
    </w:p>
    <w:p>
      <w:pPr>
        <w:spacing w:after="80"/>
      </w:pPr>
      <w:r>
        <w:rPr>
          <w:rFonts w:ascii="Calibri" w:hAnsi="Calibri"/>
          <w:sz w:val="20"/>
        </w:rPr>
        <w:t>Nu există formule corecte peste o structură greșită.</w:t>
      </w:r>
    </w:p>
    <w:p>
      <w:pPr>
        <w:spacing w:before="200" w:after="80"/>
      </w:pPr>
      <w:r>
        <w:rPr>
          <w:b/>
          <w:color w:val="000000"/>
          <w:sz w:val="26"/>
        </w:rPr>
        <w:t>FRAZA DE TRAILER (promovată din AHA MOMENT)</w:t>
      </w:r>
    </w:p>
    <w:p>
      <w:pPr>
        <w:spacing w:after="80"/>
      </w:pPr>
      <w:r>
        <w:rPr>
          <w:rFonts w:ascii="Calibri" w:hAnsi="Calibri"/>
          <w:sz w:val="20"/>
        </w:rPr>
        <w:t>Nu există formule corecte peste o structură greșită.</w:t>
      </w:r>
    </w:p>
    <w:p>
      <w:r>
        <w:rPr>
          <w:b/>
          <w:color w:val="000000"/>
          <w:sz w:val="32"/>
        </w:rPr>
        <w:t>BRIEF PEDAGOGIC</w:t>
      </w:r>
    </w:p>
    <w:p>
      <w:pPr>
        <w:spacing w:before="200" w:after="80"/>
      </w:pPr>
      <w:r>
        <w:rPr>
          <w:b/>
          <w:color w:val="000000"/>
          <w:sz w:val="26"/>
        </w:rPr>
        <w:t>ÎNTREBAREA CONSTRUCȚIEI</w:t>
      </w:r>
    </w:p>
    <w:p>
      <w:pPr>
        <w:spacing w:after="80"/>
      </w:pPr>
      <w:r>
        <w:rPr>
          <w:rFonts w:ascii="Calibri" w:hAnsi="Calibri"/>
          <w:sz w:val="20"/>
        </w:rPr>
        <w:t>Este acesta cu adevărat un tabel?</w:t>
      </w:r>
    </w:p>
    <w:p>
      <w:pPr>
        <w:spacing w:before="200" w:after="80"/>
      </w:pPr>
      <w:r>
        <w:rPr>
          <w:b/>
          <w:color w:val="000000"/>
          <w:sz w:val="26"/>
        </w:rPr>
        <w:t>MICRO-BRIEF</w:t>
      </w:r>
    </w:p>
    <w:p>
      <w:pPr>
        <w:spacing w:after="80"/>
      </w:pPr>
      <w:r>
        <w:rPr>
          <w:rFonts w:ascii="Calibri" w:hAnsi="Calibri"/>
          <w:sz w:val="20"/>
        </w:rPr>
        <w:t>Un export poate avea aspectul unui tabel Excel și totuși să nu respecte regulile unui tabel real. În această construcție demonstrăm diferența dintre aparență și structură.</w:t>
      </w:r>
    </w:p>
    <w:p>
      <w:pPr>
        <w:spacing w:before="200" w:after="80"/>
      </w:pPr>
      <w:r>
        <w:rPr>
          <w:b/>
          <w:color w:val="000000"/>
          <w:sz w:val="26"/>
        </w:rPr>
        <w:t>DE CE CONTEAZĂ</w:t>
      </w:r>
    </w:p>
    <w:p>
      <w:pPr>
        <w:spacing w:after="80"/>
      </w:pPr>
      <w:r>
        <w:rPr>
          <w:rFonts w:ascii="Calibri" w:hAnsi="Calibri"/>
          <w:sz w:val="20"/>
        </w:rPr>
        <w:t>Un export poate avea aspectul unui tabel Excel și totuși să încalce regulile fundamentale ale unei structuri controlabile. Dacă fundația este greșită, toate construcțiile ulterioare moștenesc eroarea.</w:t>
      </w:r>
    </w:p>
    <w:p>
      <w:pPr>
        <w:spacing w:before="200" w:after="80"/>
      </w:pPr>
      <w:r>
        <w:rPr>
          <w:b/>
          <w:color w:val="000000"/>
          <w:sz w:val="26"/>
        </w:rPr>
        <w:t>ÎNAINTE</w:t>
      </w:r>
    </w:p>
    <w:p>
      <w:pPr>
        <w:spacing w:after="80"/>
      </w:pPr>
      <w:r>
        <w:rPr>
          <w:rFonts w:ascii="Calibri" w:hAnsi="Calibri"/>
          <w:sz w:val="20"/>
        </w:rPr>
        <w:t>• subtotaluri amestecate cu date</w:t>
      </w:r>
    </w:p>
    <w:p>
      <w:pPr>
        <w:spacing w:after="80"/>
      </w:pPr>
      <w:r>
        <w:rPr>
          <w:rFonts w:ascii="Calibri" w:hAnsi="Calibri"/>
          <w:sz w:val="20"/>
        </w:rPr>
        <w:t>• celule unite</w:t>
      </w:r>
    </w:p>
    <w:p>
      <w:pPr>
        <w:spacing w:after="80"/>
      </w:pPr>
      <w:r>
        <w:rPr>
          <w:rFonts w:ascii="Calibri" w:hAnsi="Calibri"/>
          <w:sz w:val="20"/>
        </w:rPr>
        <w:t>• coloane ascunse</w:t>
      </w:r>
    </w:p>
    <w:p>
      <w:pPr>
        <w:spacing w:after="80"/>
      </w:pPr>
      <w:r>
        <w:rPr>
          <w:rFonts w:ascii="Calibri" w:hAnsi="Calibri"/>
          <w:sz w:val="20"/>
        </w:rPr>
        <w:t>• separatoare artificiale</w:t>
      </w:r>
    </w:p>
    <w:p>
      <w:pPr>
        <w:spacing w:before="200" w:after="80"/>
      </w:pPr>
      <w:r>
        <w:rPr>
          <w:b/>
          <w:color w:val="000000"/>
          <w:sz w:val="26"/>
        </w:rPr>
        <w:t>DUPĂ</w:t>
      </w:r>
    </w:p>
    <w:p>
      <w:pPr>
        <w:spacing w:after="80"/>
      </w:pPr>
      <w:r>
        <w:rPr>
          <w:rFonts w:ascii="Calibri" w:hAnsi="Calibri"/>
          <w:sz w:val="20"/>
        </w:rPr>
        <w:t>• tabel valid</w:t>
      </w:r>
    </w:p>
    <w:p>
      <w:pPr>
        <w:spacing w:after="80"/>
      </w:pPr>
      <w:r>
        <w:rPr>
          <w:rFonts w:ascii="Calibri" w:hAnsi="Calibri"/>
          <w:sz w:val="20"/>
        </w:rPr>
        <w:t>• structură continuă</w:t>
      </w:r>
    </w:p>
    <w:p>
      <w:pPr>
        <w:spacing w:after="80"/>
      </w:pPr>
      <w:r>
        <w:rPr>
          <w:rFonts w:ascii="Calibri" w:hAnsi="Calibri"/>
          <w:sz w:val="20"/>
        </w:rPr>
        <w:t>• bază pentru formule</w:t>
      </w:r>
    </w:p>
    <w:p>
      <w:pPr>
        <w:spacing w:after="80"/>
      </w:pPr>
      <w:r>
        <w:rPr>
          <w:rFonts w:ascii="Calibri" w:hAnsi="Calibri"/>
          <w:sz w:val="20"/>
        </w:rPr>
        <w:t>• bază pentru Power Query</w:t>
      </w:r>
    </w:p>
    <w:p>
      <w:pPr>
        <w:spacing w:before="200" w:after="80"/>
      </w:pPr>
      <w:r>
        <w:rPr>
          <w:b/>
          <w:color w:val="000000"/>
          <w:sz w:val="26"/>
        </w:rPr>
        <w:t>CE VEI OBȚINE</w:t>
      </w:r>
    </w:p>
    <w:p>
      <w:pPr>
        <w:spacing w:after="80"/>
      </w:pPr>
      <w:r>
        <w:rPr>
          <w:rFonts w:ascii="Calibri" w:hAnsi="Calibri"/>
          <w:sz w:val="20"/>
        </w:rPr>
        <w:t>✓ structură controlabilă</w:t>
      </w:r>
    </w:p>
    <w:p>
      <w:pPr>
        <w:spacing w:after="80"/>
      </w:pPr>
      <w:r>
        <w:rPr>
          <w:rFonts w:ascii="Calibri" w:hAnsi="Calibri"/>
          <w:sz w:val="20"/>
        </w:rPr>
        <w:t>✓ tabel validat</w:t>
      </w:r>
    </w:p>
    <w:p>
      <w:pPr>
        <w:spacing w:after="80"/>
      </w:pPr>
      <w:r>
        <w:rPr>
          <w:rFonts w:ascii="Calibri" w:hAnsi="Calibri"/>
          <w:sz w:val="20"/>
        </w:rPr>
        <w:t>✓ bază pentru T1 complet</w:t>
      </w:r>
    </w:p>
    <w:p>
      <w:pPr>
        <w:spacing w:after="80"/>
      </w:pPr>
      <w:r>
        <w:rPr>
          <w:rFonts w:ascii="Calibri" w:hAnsi="Calibri"/>
          <w:sz w:val="20"/>
        </w:rPr>
        <w:t>✓ bază pentru T2</w:t>
      </w:r>
    </w:p>
    <w:p>
      <w:r>
        <w:rPr>
          <w:b/>
          <w:color w:val="000000"/>
          <w:sz w:val="32"/>
        </w:rPr>
        <w:t>TRANSFORMAREA CURSANTULUI</w:t>
      </w:r>
    </w:p>
    <w:p>
      <w:pPr>
        <w:spacing w:before="200" w:after="80"/>
      </w:pPr>
      <w:r>
        <w:rPr>
          <w:b/>
          <w:color w:val="000000"/>
          <w:sz w:val="26"/>
        </w:rPr>
        <w:t>CINE DEVII (promisiune · bookend)</w:t>
      </w:r>
    </w:p>
    <w:p>
      <w:pPr>
        <w:spacing w:after="80"/>
      </w:pPr>
      <w:r>
        <w:rPr>
          <w:rFonts w:ascii="Calibri" w:hAnsi="Calibri"/>
          <w:sz w:val="20"/>
        </w:rPr>
        <w:t>Nu mai vezi tabele. Vezi structuri.</w:t>
      </w:r>
    </w:p>
    <w:p>
      <w:pPr>
        <w:spacing w:before="200" w:after="80"/>
      </w:pPr>
      <w:r>
        <w:rPr>
          <w:b/>
          <w:color w:val="000000"/>
          <w:sz w:val="26"/>
        </w:rPr>
        <w:t>COMPETENȚA DOBÂNDITĂ</w:t>
      </w:r>
    </w:p>
    <w:p>
      <w:pPr>
        <w:spacing w:after="80"/>
      </w:pPr>
      <w:r>
        <w:rPr>
          <w:rFonts w:ascii="Calibri" w:hAnsi="Calibri"/>
          <w:sz w:val="20"/>
        </w:rPr>
        <w:t>Poți identifica în mai puțin de 30 de secunde dacă un export ERP este utilizabil sau trebuie restructurat înainte de analiză.</w:t>
      </w:r>
    </w:p>
    <w:p>
      <w:pPr>
        <w:spacing w:before="200" w:after="80"/>
      </w:pPr>
      <w:r>
        <w:rPr>
          <w:b/>
          <w:color w:val="000000"/>
          <w:sz w:val="26"/>
        </w:rPr>
        <w:t>DE ACUM ÎNAINTE</w:t>
      </w:r>
    </w:p>
    <w:p>
      <w:pPr>
        <w:spacing w:after="80"/>
      </w:pPr>
      <w:r>
        <w:rPr>
          <w:rFonts w:ascii="Calibri" w:hAnsi="Calibri"/>
          <w:sz w:val="20"/>
        </w:rPr>
        <w:t>Nu mai vezi tabele. Vezi structuri.</w:t>
      </w:r>
    </w:p>
    <w:p>
      <w:pPr>
        <w:spacing w:after="80"/>
      </w:pPr>
      <w:r>
        <w:rPr>
          <w:rFonts w:ascii="Calibri" w:hAnsi="Calibri"/>
          <w:sz w:val="20"/>
        </w:rPr>
        <w:t>Nu mai verifici cifre. Verifici fundația.</w:t>
      </w:r>
    </w:p>
    <w:p>
      <w:pPr>
        <w:spacing w:after="80"/>
      </w:pPr>
      <w:r>
        <w:rPr>
          <w:rFonts w:ascii="Calibri" w:hAnsi="Calibri"/>
          <w:sz w:val="20"/>
        </w:rPr>
        <w:t>Nu mai întrebi „ce formulă folosesc?". Întrebi „pe ce structură construiesc?".</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Sursă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scoate adevărul la suprafață.</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ni le predă pe rând ca să le putem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noi, una câte una.</w:t>
      </w:r>
    </w:p>
    <w:p>
      <w:pPr>
        <w:spacing w:before="160" w:after="40"/>
      </w:pPr>
      <w:r>
        <w:rPr>
          <w:b/>
          <w:color w:val="333333"/>
          <w:sz w:val="22"/>
        </w:rPr>
        <w:t>CONTROL UMAN</w:t>
      </w:r>
    </w:p>
    <w:p>
      <w:pPr>
        <w:spacing w:after="80"/>
      </w:pPr>
      <w:r>
        <w:rPr>
          <w:rFonts w:ascii="Calibri" w:hAnsi="Calibri"/>
          <w:sz w:val="20"/>
        </w:rPr>
        <w:t>Cerem demonstrația. Recunoaștem fiecare fenomen ca specie. Acceptăm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Deschidem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Confirmăm martorul: "Suma de control vizibilă, fixată ca martor.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Lipim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Citim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Aplicăm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Confirmăm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noastră în pași Excel concreți. Confirmă efectul fiecărui pas. Nu inițiază transformări pe care nu le înțelegem.</w:t>
      </w:r>
    </w:p>
    <w:p>
      <w:pPr>
        <w:spacing w:before="160" w:after="40"/>
      </w:pPr>
      <w:r>
        <w:rPr>
          <w:b/>
          <w:color w:val="333333"/>
          <w:sz w:val="22"/>
        </w:rPr>
        <w:t>MOMENT DE CONTROL</w:t>
      </w:r>
    </w:p>
    <w:p>
      <w:pPr>
        <w:spacing w:after="80"/>
      </w:pPr>
      <w:r>
        <w:rPr>
          <w:rFonts w:ascii="Calibri" w:hAnsi="Calibri"/>
          <w:sz w:val="20"/>
        </w:rPr>
        <w:t>Confirmăm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controlul de conservare după transformare. Suma rămâne conservată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Scriem =AGGREGATE(9,5,...). Cifra apare: suma de control.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Citim cu voce tare: "Suma de control conservată.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Deschidem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Învățăm sintaxa fluxului.</w:t>
      </w:r>
    </w:p>
    <w:p>
      <w:pPr>
        <w:spacing w:before="160" w:after="40"/>
      </w:pPr>
      <w:r>
        <w:rPr>
          <w:b/>
          <w:color w:val="333333"/>
          <w:sz w:val="22"/>
        </w:rPr>
        <w:t>MOMENT DE CONTROL</w:t>
      </w:r>
    </w:p>
    <w:p>
      <w:pPr>
        <w:spacing w:after="80"/>
      </w:pPr>
      <w:r>
        <w:rPr>
          <w:rFonts w:ascii="Calibri" w:hAnsi="Calibri"/>
          <w:sz w:val="20"/>
        </w:rPr>
        <w:t>Confirmăm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Nu confundăm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de control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Rostim semnătura: "Nu am reconstruit tabelul. L-am făcut controlabil. Suma de control rămâne fixată.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