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10716" w:rsidRPr="00AA4155" w:rsidTr="00C91D81">
        <w:tc>
          <w:tcPr>
            <w:tcW w:w="9350" w:type="dxa"/>
          </w:tcPr>
          <w:p w:rsidR="00B10716" w:rsidRPr="00AA4155" w:rsidRDefault="007127BE" w:rsidP="00C91D81">
            <w:pPr>
              <w:rPr>
                <w:rFonts w:ascii="Arial" w:hAnsi="Arial" w:cs="Arial"/>
                <w:sz w:val="32"/>
                <w:szCs w:val="32"/>
              </w:rPr>
            </w:pPr>
            <w:r w:rsidRPr="00AA4155">
              <w:rPr>
                <w:rFonts w:ascii="Arial" w:hAnsi="Arial" w:cs="Arial"/>
                <w:sz w:val="32"/>
                <w:szCs w:val="32"/>
              </w:rPr>
              <w:t>Inferring</w:t>
            </w:r>
            <w:r w:rsidR="006244FC" w:rsidRPr="00AA4155">
              <w:rPr>
                <w:rFonts w:ascii="Arial" w:hAnsi="Arial" w:cs="Arial"/>
                <w:sz w:val="32"/>
                <w:szCs w:val="32"/>
              </w:rPr>
              <w:t xml:space="preserve"> metabolite interactome</w:t>
            </w:r>
            <w:r w:rsidR="00467209">
              <w:rPr>
                <w:rFonts w:ascii="Arial" w:hAnsi="Arial" w:cs="Arial"/>
                <w:sz w:val="32"/>
                <w:szCs w:val="32"/>
              </w:rPr>
              <w:t>s</w:t>
            </w:r>
            <w:r w:rsidR="00B10716" w:rsidRPr="00AA4155">
              <w:rPr>
                <w:rFonts w:ascii="Arial" w:hAnsi="Arial" w:cs="Arial"/>
                <w:sz w:val="32"/>
                <w:szCs w:val="32"/>
              </w:rPr>
              <w:t xml:space="preserve"> via Bayesian graphical model selection</w:t>
            </w:r>
            <w:r w:rsidR="00467209">
              <w:rPr>
                <w:rFonts w:ascii="Arial" w:hAnsi="Arial" w:cs="Arial"/>
                <w:sz w:val="32"/>
                <w:szCs w:val="32"/>
              </w:rPr>
              <w:t xml:space="preserve"> utilizing</w:t>
            </w:r>
            <w:r w:rsidR="004F248C">
              <w:rPr>
                <w:rFonts w:ascii="Arial" w:hAnsi="Arial" w:cs="Arial"/>
                <w:sz w:val="32"/>
                <w:szCs w:val="32"/>
              </w:rPr>
              <w:t xml:space="preserve"> molecular</w:t>
            </w:r>
            <w:r w:rsidR="00B10716" w:rsidRPr="00AA4155">
              <w:rPr>
                <w:rFonts w:ascii="Arial" w:hAnsi="Arial" w:cs="Arial"/>
                <w:sz w:val="32"/>
                <w:szCs w:val="32"/>
              </w:rPr>
              <w:t xml:space="preserve"> structure</w:t>
            </w:r>
            <w:r w:rsidR="004F248C">
              <w:rPr>
                <w:rFonts w:ascii="Arial" w:hAnsi="Arial" w:cs="Arial"/>
                <w:sz w:val="32"/>
                <w:szCs w:val="32"/>
              </w:rPr>
              <w:t xml:space="preserve"> informative</w:t>
            </w:r>
            <w:r w:rsidR="00B10716" w:rsidRPr="00AA4155">
              <w:rPr>
                <w:rFonts w:ascii="Arial" w:hAnsi="Arial" w:cs="Arial"/>
                <w:sz w:val="32"/>
                <w:szCs w:val="32"/>
              </w:rPr>
              <w:t xml:space="preserve"> priors</w:t>
            </w:r>
          </w:p>
        </w:tc>
      </w:tr>
      <w:tr w:rsidR="00B10716" w:rsidRPr="00AA4155" w:rsidTr="00C91D81">
        <w:trPr>
          <w:trHeight w:val="70"/>
        </w:trPr>
        <w:tc>
          <w:tcPr>
            <w:tcW w:w="9350" w:type="dxa"/>
          </w:tcPr>
          <w:p w:rsidR="00B10716" w:rsidRPr="00AA4155" w:rsidRDefault="00B10716" w:rsidP="00C91D81">
            <w:pPr>
              <w:rPr>
                <w:rFonts w:ascii="Arial" w:hAnsi="Arial" w:cs="Arial"/>
                <w:sz w:val="12"/>
                <w:szCs w:val="12"/>
              </w:rPr>
            </w:pPr>
          </w:p>
        </w:tc>
      </w:tr>
      <w:tr w:rsidR="00B10716" w:rsidRPr="00AA4155" w:rsidTr="00C91D81">
        <w:tc>
          <w:tcPr>
            <w:tcW w:w="9350" w:type="dxa"/>
          </w:tcPr>
          <w:p w:rsidR="00B10716" w:rsidRPr="00AA4155" w:rsidRDefault="00B10716" w:rsidP="00C91D81">
            <w:pPr>
              <w:rPr>
                <w:rFonts w:ascii="Arial" w:hAnsi="Arial" w:cs="Arial"/>
                <w:sz w:val="24"/>
                <w:szCs w:val="24"/>
              </w:rPr>
            </w:pPr>
            <w:r w:rsidRPr="00AA4155">
              <w:rPr>
                <w:rFonts w:ascii="Arial" w:hAnsi="Arial" w:cs="Arial"/>
                <w:sz w:val="24"/>
                <w:szCs w:val="24"/>
              </w:rPr>
              <w:t xml:space="preserve">Patrick J. </w:t>
            </w:r>
            <w:proofErr w:type="spellStart"/>
            <w:r w:rsidRPr="00AA4155">
              <w:rPr>
                <w:rFonts w:ascii="Arial" w:hAnsi="Arial" w:cs="Arial"/>
                <w:sz w:val="24"/>
                <w:szCs w:val="24"/>
              </w:rPr>
              <w:t>Trainor</w:t>
            </w:r>
            <w:r w:rsidRPr="00AA4155">
              <w:rPr>
                <w:rFonts w:ascii="Arial" w:hAnsi="Arial" w:cs="Arial"/>
                <w:sz w:val="24"/>
                <w:szCs w:val="24"/>
                <w:vertAlign w:val="superscript"/>
              </w:rPr>
              <w:t>a</w:t>
            </w:r>
            <w:proofErr w:type="spellEnd"/>
            <w:r w:rsidR="009B4F63" w:rsidRPr="00AA4155">
              <w:rPr>
                <w:rFonts w:ascii="Arial" w:hAnsi="Arial" w:cs="Arial"/>
                <w:sz w:val="24"/>
                <w:szCs w:val="24"/>
              </w:rPr>
              <w:t>*</w:t>
            </w:r>
            <w:r w:rsidRPr="00AA4155">
              <w:rPr>
                <w:rFonts w:ascii="Arial" w:hAnsi="Arial" w:cs="Arial"/>
                <w:sz w:val="24"/>
                <w:szCs w:val="24"/>
              </w:rPr>
              <w:t xml:space="preserve">, </w:t>
            </w:r>
            <w:r w:rsidR="002751B8" w:rsidRPr="00AA4155">
              <w:rPr>
                <w:rFonts w:ascii="Arial" w:hAnsi="Arial" w:cs="Arial"/>
                <w:sz w:val="24"/>
                <w:szCs w:val="24"/>
              </w:rPr>
              <w:t xml:space="preserve">Samantha M. </w:t>
            </w:r>
            <w:proofErr w:type="spellStart"/>
            <w:r w:rsidR="002751B8" w:rsidRPr="00AA4155">
              <w:rPr>
                <w:rFonts w:ascii="Arial" w:hAnsi="Arial" w:cs="Arial"/>
                <w:sz w:val="24"/>
                <w:szCs w:val="24"/>
              </w:rPr>
              <w:t>Carlisle</w:t>
            </w:r>
            <w:r w:rsidRPr="00AA4155">
              <w:rPr>
                <w:rFonts w:ascii="Arial" w:hAnsi="Arial" w:cs="Arial"/>
                <w:sz w:val="24"/>
                <w:szCs w:val="24"/>
                <w:vertAlign w:val="superscript"/>
              </w:rPr>
              <w:t>b</w:t>
            </w:r>
            <w:proofErr w:type="spellEnd"/>
            <w:r w:rsidRPr="00AA4155">
              <w:rPr>
                <w:rFonts w:ascii="Arial" w:hAnsi="Arial" w:cs="Arial"/>
                <w:sz w:val="24"/>
                <w:szCs w:val="24"/>
              </w:rPr>
              <w:t>,</w:t>
            </w:r>
            <w:r w:rsidR="002751B8" w:rsidRPr="00AA4155">
              <w:rPr>
                <w:rFonts w:ascii="Arial" w:hAnsi="Arial" w:cs="Arial"/>
                <w:sz w:val="24"/>
                <w:szCs w:val="24"/>
              </w:rPr>
              <w:t xml:space="preserve"> Shesh N. </w:t>
            </w:r>
            <w:proofErr w:type="spellStart"/>
            <w:r w:rsidR="002751B8" w:rsidRPr="00AA4155">
              <w:rPr>
                <w:rFonts w:ascii="Arial" w:hAnsi="Arial" w:cs="Arial"/>
                <w:sz w:val="24"/>
                <w:szCs w:val="24"/>
              </w:rPr>
              <w:t>Rai</w:t>
            </w:r>
            <w:r w:rsidR="00727586" w:rsidRPr="00AA4155">
              <w:rPr>
                <w:rFonts w:ascii="Arial" w:hAnsi="Arial" w:cs="Arial"/>
                <w:sz w:val="24"/>
                <w:szCs w:val="24"/>
                <w:vertAlign w:val="superscript"/>
              </w:rPr>
              <w:t>c</w:t>
            </w:r>
            <w:proofErr w:type="spellEnd"/>
            <w:r w:rsidR="00727586" w:rsidRPr="00AA4155">
              <w:rPr>
                <w:rFonts w:ascii="Arial" w:hAnsi="Arial" w:cs="Arial"/>
                <w:sz w:val="24"/>
                <w:szCs w:val="24"/>
                <w:vertAlign w:val="superscript"/>
              </w:rPr>
              <w:t>§</w:t>
            </w:r>
            <w:r w:rsidR="002751B8" w:rsidRPr="00AA4155">
              <w:rPr>
                <w:rFonts w:ascii="Arial" w:hAnsi="Arial" w:cs="Arial"/>
                <w:sz w:val="24"/>
                <w:szCs w:val="24"/>
              </w:rPr>
              <w:t>,</w:t>
            </w:r>
            <w:r w:rsidRPr="00AA4155">
              <w:rPr>
                <w:rFonts w:ascii="Arial" w:hAnsi="Arial" w:cs="Arial"/>
                <w:sz w:val="24"/>
                <w:szCs w:val="24"/>
              </w:rPr>
              <w:t xml:space="preserve"> Andrew P. </w:t>
            </w:r>
            <w:proofErr w:type="spellStart"/>
            <w:r w:rsidRPr="00AA4155">
              <w:rPr>
                <w:rFonts w:ascii="Arial" w:hAnsi="Arial" w:cs="Arial"/>
                <w:sz w:val="24"/>
                <w:szCs w:val="24"/>
              </w:rPr>
              <w:t>DeFilippis</w:t>
            </w:r>
            <w:r w:rsidR="00727586" w:rsidRPr="00AA4155">
              <w:rPr>
                <w:rFonts w:ascii="Arial" w:hAnsi="Arial" w:cs="Arial"/>
                <w:sz w:val="24"/>
                <w:szCs w:val="24"/>
                <w:vertAlign w:val="superscript"/>
              </w:rPr>
              <w:t>d</w:t>
            </w:r>
            <w:proofErr w:type="spellEnd"/>
            <w:r w:rsidRPr="00AA4155">
              <w:rPr>
                <w:rFonts w:ascii="Arial" w:hAnsi="Arial" w:cs="Arial"/>
                <w:sz w:val="24"/>
                <w:szCs w:val="24"/>
                <w:vertAlign w:val="superscript"/>
              </w:rPr>
              <w:t>§</w:t>
            </w:r>
            <w:r w:rsidRPr="00AA4155">
              <w:rPr>
                <w:rFonts w:ascii="Arial" w:hAnsi="Arial" w:cs="Arial"/>
                <w:sz w:val="24"/>
                <w:szCs w:val="24"/>
              </w:rPr>
              <w:t xml:space="preserve"> </w:t>
            </w:r>
          </w:p>
        </w:tc>
      </w:tr>
      <w:tr w:rsidR="00B10716" w:rsidRPr="00AA4155" w:rsidTr="00C91D81">
        <w:tc>
          <w:tcPr>
            <w:tcW w:w="9350" w:type="dxa"/>
          </w:tcPr>
          <w:p w:rsidR="00B10716" w:rsidRPr="00AA4155" w:rsidRDefault="00B10716" w:rsidP="00C91D81">
            <w:pPr>
              <w:rPr>
                <w:rFonts w:ascii="Arial" w:hAnsi="Arial" w:cs="Arial"/>
                <w:sz w:val="6"/>
                <w:szCs w:val="6"/>
              </w:rPr>
            </w:pPr>
          </w:p>
        </w:tc>
      </w:tr>
      <w:tr w:rsidR="00B10716" w:rsidRPr="00AA4155" w:rsidTr="00C91D81">
        <w:tc>
          <w:tcPr>
            <w:tcW w:w="9350" w:type="dxa"/>
          </w:tcPr>
          <w:p w:rsidR="00B10716" w:rsidRPr="00AA4155" w:rsidRDefault="00B10716" w:rsidP="00C91D81">
            <w:pPr>
              <w:rPr>
                <w:rFonts w:ascii="Arial" w:hAnsi="Arial" w:cs="Arial"/>
                <w:sz w:val="16"/>
                <w:szCs w:val="16"/>
              </w:rPr>
            </w:pPr>
            <w:proofErr w:type="spellStart"/>
            <w:r w:rsidRPr="00AA4155">
              <w:rPr>
                <w:rFonts w:ascii="Arial" w:hAnsi="Arial" w:cs="Arial"/>
                <w:sz w:val="16"/>
                <w:szCs w:val="16"/>
                <w:vertAlign w:val="superscript"/>
              </w:rPr>
              <w:t>a</w:t>
            </w:r>
            <w:r w:rsidRPr="00AA4155">
              <w:rPr>
                <w:rFonts w:ascii="Arial" w:hAnsi="Arial" w:cs="Arial"/>
                <w:sz w:val="16"/>
                <w:szCs w:val="16"/>
              </w:rPr>
              <w:t>Department</w:t>
            </w:r>
            <w:proofErr w:type="spellEnd"/>
            <w:r w:rsidRPr="00AA4155">
              <w:rPr>
                <w:rFonts w:ascii="Arial" w:hAnsi="Arial" w:cs="Arial"/>
                <w:sz w:val="16"/>
                <w:szCs w:val="16"/>
              </w:rPr>
              <w:t xml:space="preserve"> of Medicine, Division of Cardiovascular Medicine, University of Louisville</w:t>
            </w:r>
          </w:p>
          <w:p w:rsidR="00B10716" w:rsidRPr="00AA4155" w:rsidRDefault="00B10716" w:rsidP="00C91D81">
            <w:pPr>
              <w:rPr>
                <w:rFonts w:ascii="Arial" w:hAnsi="Arial" w:cs="Arial"/>
                <w:sz w:val="16"/>
                <w:szCs w:val="16"/>
              </w:rPr>
            </w:pPr>
            <w:proofErr w:type="spellStart"/>
            <w:r w:rsidRPr="00AA4155">
              <w:rPr>
                <w:rFonts w:ascii="Arial" w:hAnsi="Arial" w:cs="Arial"/>
                <w:sz w:val="16"/>
                <w:szCs w:val="16"/>
                <w:vertAlign w:val="superscript"/>
              </w:rPr>
              <w:t>b</w:t>
            </w:r>
            <w:r w:rsidRPr="00AA4155">
              <w:rPr>
                <w:rFonts w:ascii="Arial" w:hAnsi="Arial" w:cs="Arial"/>
                <w:sz w:val="16"/>
                <w:szCs w:val="16"/>
              </w:rPr>
              <w:t>Department</w:t>
            </w:r>
            <w:proofErr w:type="spellEnd"/>
            <w:r w:rsidRPr="00AA4155">
              <w:rPr>
                <w:rFonts w:ascii="Arial" w:hAnsi="Arial" w:cs="Arial"/>
                <w:sz w:val="16"/>
                <w:szCs w:val="16"/>
              </w:rPr>
              <w:t xml:space="preserve"> of </w:t>
            </w:r>
            <w:r w:rsidR="003F69D2" w:rsidRPr="00AA4155">
              <w:rPr>
                <w:rFonts w:ascii="Arial" w:hAnsi="Arial" w:cs="Arial"/>
                <w:sz w:val="16"/>
                <w:szCs w:val="16"/>
              </w:rPr>
              <w:t>Pharmacology and Toxicology</w:t>
            </w:r>
          </w:p>
          <w:p w:rsidR="003F69D2" w:rsidRPr="00AA4155" w:rsidRDefault="003F69D2" w:rsidP="00C91D81">
            <w:pPr>
              <w:rPr>
                <w:rFonts w:ascii="Arial" w:hAnsi="Arial" w:cs="Arial"/>
                <w:sz w:val="16"/>
                <w:szCs w:val="16"/>
              </w:rPr>
            </w:pPr>
            <w:proofErr w:type="spellStart"/>
            <w:r w:rsidRPr="00AA4155">
              <w:rPr>
                <w:rFonts w:ascii="Arial" w:hAnsi="Arial" w:cs="Arial"/>
                <w:sz w:val="16"/>
                <w:szCs w:val="16"/>
                <w:vertAlign w:val="superscript"/>
              </w:rPr>
              <w:t>c</w:t>
            </w:r>
            <w:r w:rsidR="005B74A5" w:rsidRPr="00AA4155">
              <w:rPr>
                <w:rFonts w:ascii="Arial" w:hAnsi="Arial" w:cs="Arial"/>
                <w:sz w:val="16"/>
                <w:szCs w:val="16"/>
              </w:rPr>
              <w:t>Department</w:t>
            </w:r>
            <w:proofErr w:type="spellEnd"/>
            <w:r w:rsidR="005B74A5" w:rsidRPr="00AA4155">
              <w:rPr>
                <w:rFonts w:ascii="Arial" w:hAnsi="Arial" w:cs="Arial"/>
                <w:sz w:val="16"/>
                <w:szCs w:val="16"/>
              </w:rPr>
              <w:t xml:space="preserve"> of Bioinformatics and Biostatistics</w:t>
            </w:r>
          </w:p>
          <w:p w:rsidR="00B10716" w:rsidRPr="00AA4155" w:rsidRDefault="003F69D2" w:rsidP="00C91D81">
            <w:pPr>
              <w:rPr>
                <w:rFonts w:ascii="Arial" w:hAnsi="Arial" w:cs="Arial"/>
                <w:sz w:val="16"/>
                <w:szCs w:val="16"/>
              </w:rPr>
            </w:pPr>
            <w:proofErr w:type="spellStart"/>
            <w:r w:rsidRPr="00AA4155">
              <w:rPr>
                <w:rFonts w:ascii="Arial" w:hAnsi="Arial" w:cs="Arial"/>
                <w:sz w:val="16"/>
                <w:szCs w:val="16"/>
                <w:vertAlign w:val="superscript"/>
              </w:rPr>
              <w:t>d</w:t>
            </w:r>
            <w:r w:rsidR="00B10716" w:rsidRPr="00AA4155">
              <w:rPr>
                <w:rFonts w:ascii="Arial" w:hAnsi="Arial" w:cs="Arial"/>
                <w:sz w:val="16"/>
                <w:szCs w:val="16"/>
              </w:rPr>
              <w:t>Department</w:t>
            </w:r>
            <w:proofErr w:type="spellEnd"/>
            <w:r w:rsidR="00B10716" w:rsidRPr="00AA4155">
              <w:rPr>
                <w:rFonts w:ascii="Arial" w:hAnsi="Arial" w:cs="Arial"/>
                <w:sz w:val="16"/>
                <w:szCs w:val="16"/>
              </w:rPr>
              <w:t xml:space="preserve"> of Medicine, Division of Cardiovascular Medicine, Univers</w:t>
            </w:r>
            <w:r w:rsidR="005B74A5" w:rsidRPr="00AA4155">
              <w:rPr>
                <w:rFonts w:ascii="Arial" w:hAnsi="Arial" w:cs="Arial"/>
                <w:sz w:val="16"/>
                <w:szCs w:val="16"/>
              </w:rPr>
              <w:t>ity of Louisville,</w:t>
            </w:r>
          </w:p>
          <w:p w:rsidR="00B10716" w:rsidRPr="00AA4155" w:rsidRDefault="00B10716" w:rsidP="00C91D81">
            <w:pPr>
              <w:rPr>
                <w:rFonts w:ascii="Arial" w:hAnsi="Arial" w:cs="Arial"/>
                <w:sz w:val="16"/>
                <w:szCs w:val="16"/>
              </w:rPr>
            </w:pPr>
            <w:r w:rsidRPr="00AA4155">
              <w:rPr>
                <w:rFonts w:ascii="Arial" w:hAnsi="Arial" w:cs="Arial"/>
                <w:sz w:val="16"/>
                <w:szCs w:val="16"/>
              </w:rPr>
              <w:t xml:space="preserve">     Jewish Hospital and Johns Hopkins University</w:t>
            </w:r>
          </w:p>
          <w:p w:rsidR="00B10716" w:rsidRPr="00AA4155" w:rsidRDefault="00B10716" w:rsidP="00C91D81">
            <w:pPr>
              <w:rPr>
                <w:rFonts w:ascii="Arial" w:hAnsi="Arial" w:cs="Arial"/>
                <w:sz w:val="16"/>
                <w:szCs w:val="16"/>
              </w:rPr>
            </w:pPr>
            <w:r w:rsidRPr="00AA4155">
              <w:rPr>
                <w:rFonts w:ascii="Arial" w:hAnsi="Arial" w:cs="Arial"/>
                <w:sz w:val="16"/>
                <w:szCs w:val="16"/>
              </w:rPr>
              <w:t>§Equally contributing authors</w:t>
            </w:r>
          </w:p>
          <w:p w:rsidR="00B10716" w:rsidRPr="00AA4155" w:rsidRDefault="00B10716" w:rsidP="00C91D81">
            <w:pPr>
              <w:rPr>
                <w:rFonts w:ascii="Arial" w:hAnsi="Arial" w:cs="Arial"/>
                <w:sz w:val="16"/>
                <w:szCs w:val="16"/>
              </w:rPr>
            </w:pPr>
            <w:r w:rsidRPr="00AA4155">
              <w:rPr>
                <w:rFonts w:ascii="Arial" w:hAnsi="Arial" w:cs="Arial"/>
                <w:sz w:val="16"/>
                <w:szCs w:val="16"/>
              </w:rPr>
              <w:t>*Corresponding Author</w:t>
            </w:r>
          </w:p>
        </w:tc>
      </w:tr>
      <w:tr w:rsidR="00B10716" w:rsidRPr="00AA4155" w:rsidTr="00C91D81">
        <w:tc>
          <w:tcPr>
            <w:tcW w:w="9350" w:type="dxa"/>
          </w:tcPr>
          <w:p w:rsidR="00B10716" w:rsidRPr="00AA4155" w:rsidRDefault="00B10716" w:rsidP="00C91D81">
            <w:pPr>
              <w:rPr>
                <w:rFonts w:ascii="Arial" w:hAnsi="Arial" w:cs="Arial"/>
                <w:sz w:val="6"/>
                <w:szCs w:val="6"/>
              </w:rPr>
            </w:pPr>
            <w:r w:rsidRPr="00AA4155">
              <w:rPr>
                <w:rFonts w:ascii="Arial" w:hAnsi="Arial" w:cs="Arial"/>
                <w:sz w:val="4"/>
                <w:szCs w:val="4"/>
              </w:rPr>
              <w:t xml:space="preserve"> </w:t>
            </w:r>
          </w:p>
        </w:tc>
      </w:tr>
    </w:tbl>
    <w:p w:rsidR="00B10716" w:rsidRPr="00AA4155" w:rsidRDefault="00B10716" w:rsidP="00B10716">
      <w:pPr>
        <w:rPr>
          <w:rFonts w:ascii="Arial" w:hAnsi="Arial" w:cs="Arial"/>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450"/>
        <w:gridCol w:w="7195"/>
      </w:tblGrid>
      <w:tr w:rsidR="00B10716" w:rsidRPr="00AA4155" w:rsidTr="00C91D81">
        <w:tc>
          <w:tcPr>
            <w:tcW w:w="1705" w:type="dxa"/>
          </w:tcPr>
          <w:p w:rsidR="00B10716" w:rsidRPr="00AA4155" w:rsidRDefault="00B10716" w:rsidP="00C91D81">
            <w:pPr>
              <w:rPr>
                <w:rFonts w:ascii="Arial" w:hAnsi="Arial" w:cs="Arial"/>
                <w:u w:val="single"/>
              </w:rPr>
            </w:pPr>
            <w:r w:rsidRPr="00AA4155">
              <w:rPr>
                <w:rFonts w:ascii="Arial" w:hAnsi="Arial" w:cs="Arial"/>
                <w:u w:val="single"/>
              </w:rPr>
              <w:t>Keywords</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rPr>
              <w:t>Evolutionary Computation, Wisdom of Artificial Crowds,</w:t>
            </w:r>
          </w:p>
          <w:p w:rsidR="00B10716" w:rsidRPr="00AA4155" w:rsidRDefault="00B10716" w:rsidP="00C91D81">
            <w:pPr>
              <w:rPr>
                <w:rFonts w:ascii="Arial" w:hAnsi="Arial" w:cs="Arial"/>
              </w:rPr>
            </w:pPr>
            <w:r w:rsidRPr="00AA4155">
              <w:rPr>
                <w:rFonts w:ascii="Arial" w:hAnsi="Arial" w:cs="Arial"/>
              </w:rPr>
              <w:t>Feature Selection,</w:t>
            </w:r>
          </w:p>
          <w:p w:rsidR="00B10716" w:rsidRPr="00AA4155" w:rsidRDefault="00B10716" w:rsidP="00C91D81">
            <w:pPr>
              <w:rPr>
                <w:rFonts w:ascii="Arial" w:hAnsi="Arial" w:cs="Arial"/>
              </w:rPr>
            </w:pPr>
            <w:r w:rsidRPr="00AA4155">
              <w:rPr>
                <w:rFonts w:ascii="Arial" w:hAnsi="Arial" w:cs="Arial"/>
              </w:rPr>
              <w:t>Classification, Diagnostic Test,</w:t>
            </w:r>
          </w:p>
          <w:p w:rsidR="00B10716" w:rsidRPr="00AA4155" w:rsidRDefault="00B10716" w:rsidP="00C91D81">
            <w:pPr>
              <w:rPr>
                <w:rFonts w:ascii="Arial" w:hAnsi="Arial" w:cs="Arial"/>
              </w:rPr>
            </w:pPr>
            <w:r w:rsidRPr="00AA4155">
              <w:rPr>
                <w:rFonts w:ascii="Arial" w:hAnsi="Arial" w:cs="Arial"/>
              </w:rPr>
              <w:t>Myocardial Infarction</w:t>
            </w:r>
          </w:p>
        </w:tc>
        <w:tc>
          <w:tcPr>
            <w:tcW w:w="450" w:type="dxa"/>
          </w:tcPr>
          <w:p w:rsidR="00B10716" w:rsidRPr="00AA4155" w:rsidRDefault="00B10716" w:rsidP="00C91D81">
            <w:pPr>
              <w:rPr>
                <w:rFonts w:ascii="Arial" w:hAnsi="Arial" w:cs="Arial"/>
              </w:rPr>
            </w:pPr>
          </w:p>
        </w:tc>
        <w:tc>
          <w:tcPr>
            <w:tcW w:w="7195" w:type="dxa"/>
          </w:tcPr>
          <w:p w:rsidR="00B10716" w:rsidRPr="00AA4155" w:rsidRDefault="00B10716" w:rsidP="00C91D81">
            <w:pPr>
              <w:rPr>
                <w:rFonts w:ascii="Arial" w:hAnsi="Arial" w:cs="Arial"/>
                <w:u w:val="single"/>
              </w:rPr>
            </w:pPr>
            <w:r w:rsidRPr="00AA4155">
              <w:rPr>
                <w:rFonts w:ascii="Arial" w:hAnsi="Arial" w:cs="Arial"/>
                <w:u w:val="single"/>
              </w:rPr>
              <w:t>Abstract</w:t>
            </w:r>
          </w:p>
          <w:p w:rsidR="00B10716" w:rsidRPr="00AA4155" w:rsidRDefault="00B10716" w:rsidP="00C91D81">
            <w:pPr>
              <w:rPr>
                <w:rFonts w:ascii="Arial" w:hAnsi="Arial" w:cs="Arial"/>
              </w:rPr>
            </w:pPr>
          </w:p>
          <w:p w:rsidR="00B10716" w:rsidRPr="00AA4155" w:rsidRDefault="00B10716" w:rsidP="00C91D81">
            <w:pPr>
              <w:rPr>
                <w:rFonts w:ascii="Arial" w:hAnsi="Arial" w:cs="Arial"/>
                <w:i/>
              </w:rPr>
            </w:pPr>
            <w:r w:rsidRPr="00AA4155">
              <w:rPr>
                <w:rFonts w:ascii="Arial" w:hAnsi="Arial" w:cs="Arial"/>
                <w:i/>
              </w:rPr>
              <w:t>Introduction</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i/>
              </w:rPr>
              <w:t>Materials and Methods</w:t>
            </w:r>
            <w:r w:rsidRPr="00AA4155">
              <w:rPr>
                <w:rFonts w:ascii="Arial" w:hAnsi="Arial" w:cs="Arial"/>
              </w:rPr>
              <w:t xml:space="preserve"> </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i/>
              </w:rPr>
              <w:t>Results / Conclusions</w:t>
            </w:r>
            <w:r w:rsidRPr="00AA4155">
              <w:rPr>
                <w:rFonts w:ascii="Arial" w:hAnsi="Arial" w:cs="Arial"/>
              </w:rPr>
              <w:t xml:space="preserve"> </w:t>
            </w:r>
          </w:p>
          <w:p w:rsidR="00B10716" w:rsidRPr="00AA4155" w:rsidRDefault="00B10716" w:rsidP="00C91D81">
            <w:pPr>
              <w:rPr>
                <w:rFonts w:ascii="Arial" w:hAnsi="Arial" w:cs="Arial"/>
              </w:rPr>
            </w:pPr>
          </w:p>
        </w:tc>
      </w:tr>
    </w:tbl>
    <w:p w:rsidR="002F7A1A" w:rsidRDefault="002F7A1A" w:rsidP="002F7A1A">
      <w:pPr>
        <w:rPr>
          <w:rFonts w:ascii="Arial" w:hAnsi="Arial" w:cs="Arial"/>
        </w:rPr>
      </w:pPr>
    </w:p>
    <w:p w:rsidR="00363C62" w:rsidRDefault="00363C62" w:rsidP="00E70079">
      <w:pPr>
        <w:pStyle w:val="ListParagraph"/>
        <w:numPr>
          <w:ilvl w:val="0"/>
          <w:numId w:val="3"/>
        </w:numPr>
        <w:rPr>
          <w:rFonts w:ascii="Arial" w:hAnsi="Arial" w:cs="Arial"/>
        </w:rPr>
      </w:pPr>
      <w:r>
        <w:rPr>
          <w:rFonts w:ascii="Arial" w:hAnsi="Arial" w:cs="Arial"/>
        </w:rPr>
        <w:t>Introduction</w:t>
      </w:r>
    </w:p>
    <w:p w:rsidR="00E70079" w:rsidRPr="00363C62" w:rsidRDefault="000B2780" w:rsidP="00095E00">
      <w:pPr>
        <w:jc w:val="both"/>
        <w:rPr>
          <w:rFonts w:ascii="Arial" w:hAnsi="Arial" w:cs="Arial"/>
        </w:rPr>
      </w:pPr>
      <w:r w:rsidRPr="00363C62">
        <w:rPr>
          <w:rFonts w:ascii="Arial" w:hAnsi="Arial" w:cs="Arial"/>
        </w:rPr>
        <w:t xml:space="preserve">Untargeted profiling of </w:t>
      </w:r>
      <w:r w:rsidR="00682A0E" w:rsidRPr="00363C62">
        <w:rPr>
          <w:rFonts w:ascii="Arial" w:hAnsi="Arial" w:cs="Arial"/>
        </w:rPr>
        <w:t xml:space="preserve">the metabolome of an organism provides a view into the small molecule determinants of phenotype. </w:t>
      </w:r>
      <w:r w:rsidR="001A1CA7" w:rsidRPr="00363C62">
        <w:rPr>
          <w:rFonts w:ascii="Arial" w:hAnsi="Arial" w:cs="Arial"/>
        </w:rPr>
        <w:t>While the</w:t>
      </w:r>
      <w:r w:rsidR="00E22495" w:rsidRPr="00363C62">
        <w:rPr>
          <w:rFonts w:ascii="Arial" w:hAnsi="Arial" w:cs="Arial"/>
        </w:rPr>
        <w:t xml:space="preserve"> genome of an organism may be conceptualized as blueprint for the composition a</w:t>
      </w:r>
      <w:r w:rsidR="004C30A6" w:rsidRPr="00363C62">
        <w:rPr>
          <w:rFonts w:ascii="Arial" w:hAnsi="Arial" w:cs="Arial"/>
        </w:rPr>
        <w:t>nd organization of an organism that is largely immutable (barring epigenetic modifications and genetic mutations)</w:t>
      </w:r>
      <w:r w:rsidR="00B678EC" w:rsidRPr="00363C62">
        <w:rPr>
          <w:rFonts w:ascii="Arial" w:hAnsi="Arial" w:cs="Arial"/>
        </w:rPr>
        <w:t xml:space="preserve"> [</w:t>
      </w:r>
      <w:r w:rsidR="00B678EC" w:rsidRPr="00363C62">
        <w:rPr>
          <w:rFonts w:ascii="Arial" w:hAnsi="Arial" w:cs="Arial"/>
          <w:highlight w:val="yellow"/>
        </w:rPr>
        <w:t>citation</w:t>
      </w:r>
      <w:r w:rsidR="00B678EC" w:rsidRPr="00363C62">
        <w:rPr>
          <w:rFonts w:ascii="Arial" w:hAnsi="Arial" w:cs="Arial"/>
        </w:rPr>
        <w:t>]</w:t>
      </w:r>
      <w:r w:rsidR="001A1CA7" w:rsidRPr="00363C62">
        <w:rPr>
          <w:rFonts w:ascii="Arial" w:hAnsi="Arial" w:cs="Arial"/>
        </w:rPr>
        <w:t>, the metabolome of an or</w:t>
      </w:r>
      <w:r w:rsidR="003E34DE" w:rsidRPr="00363C62">
        <w:rPr>
          <w:rFonts w:ascii="Arial" w:hAnsi="Arial" w:cs="Arial"/>
        </w:rPr>
        <w:t>ganism is dynamic and variable [</w:t>
      </w:r>
      <w:r w:rsidR="003E34DE" w:rsidRPr="00363C62">
        <w:rPr>
          <w:rFonts w:ascii="Arial" w:hAnsi="Arial" w:cs="Arial"/>
          <w:highlight w:val="yellow"/>
        </w:rPr>
        <w:t>citation</w:t>
      </w:r>
      <w:r w:rsidR="003E34DE" w:rsidRPr="00363C62">
        <w:rPr>
          <w:rFonts w:ascii="Arial" w:hAnsi="Arial" w:cs="Arial"/>
        </w:rPr>
        <w:t xml:space="preserve">]. </w:t>
      </w:r>
      <w:r w:rsidR="00E250F8" w:rsidRPr="00363C62">
        <w:rPr>
          <w:rFonts w:ascii="Arial" w:hAnsi="Arial" w:cs="Arial"/>
        </w:rPr>
        <w:t>Sources of variation within the metabolome of a single organism include tissue-, cell-, and organelle-speci</w:t>
      </w:r>
      <w:r w:rsidR="004B0A39" w:rsidRPr="00363C62">
        <w:rPr>
          <w:rFonts w:ascii="Arial" w:hAnsi="Arial" w:cs="Arial"/>
        </w:rPr>
        <w:t>fic localization of metabolic processes</w:t>
      </w:r>
      <w:r w:rsidR="00567FB7" w:rsidRPr="00363C62">
        <w:rPr>
          <w:rFonts w:ascii="Arial" w:hAnsi="Arial" w:cs="Arial"/>
        </w:rPr>
        <w:t xml:space="preserve"> </w:t>
      </w:r>
      <w:r w:rsidR="00567FB7" w:rsidRPr="00363C62">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 </w:instrText>
      </w:r>
      <w:r w:rsidR="00447A94">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EN.CITE.DATA </w:instrText>
      </w:r>
      <w:r w:rsidR="00447A94">
        <w:rPr>
          <w:rFonts w:ascii="Arial" w:hAnsi="Arial" w:cs="Arial"/>
        </w:rPr>
      </w:r>
      <w:r w:rsidR="00447A94">
        <w:rPr>
          <w:rFonts w:ascii="Arial" w:hAnsi="Arial" w:cs="Arial"/>
        </w:rPr>
        <w:fldChar w:fldCharType="end"/>
      </w:r>
      <w:r w:rsidR="00567FB7" w:rsidRPr="00363C62">
        <w:rPr>
          <w:rFonts w:ascii="Arial" w:hAnsi="Arial" w:cs="Arial"/>
        </w:rPr>
      </w:r>
      <w:r w:rsidR="00567FB7" w:rsidRPr="00363C62">
        <w:rPr>
          <w:rFonts w:ascii="Arial" w:hAnsi="Arial" w:cs="Arial"/>
        </w:rPr>
        <w:fldChar w:fldCharType="separate"/>
      </w:r>
      <w:r w:rsidR="00447A94">
        <w:rPr>
          <w:rFonts w:ascii="Arial" w:hAnsi="Arial" w:cs="Arial"/>
          <w:noProof/>
        </w:rPr>
        <w:t>(Shlomi, Cabili, Herrgård, Palsson, &amp; Ruppin, 2008; Voet, Voet, &amp; Pratt, 2013)</w:t>
      </w:r>
      <w:r w:rsidR="00567FB7" w:rsidRPr="00363C62">
        <w:rPr>
          <w:rFonts w:ascii="Arial" w:hAnsi="Arial" w:cs="Arial"/>
        </w:rPr>
        <w:fldChar w:fldCharType="end"/>
      </w:r>
      <w:r w:rsidR="00251883" w:rsidRPr="00363C62">
        <w:rPr>
          <w:rFonts w:ascii="Arial" w:hAnsi="Arial" w:cs="Arial"/>
        </w:rPr>
        <w:t xml:space="preserve">; </w:t>
      </w:r>
      <w:r w:rsidR="00BA3DE5" w:rsidRPr="00363C62">
        <w:rPr>
          <w:rFonts w:ascii="Arial" w:hAnsi="Arial" w:cs="Arial"/>
        </w:rPr>
        <w:t xml:space="preserve">environmental </w:t>
      </w:r>
      <w:r w:rsidR="00B20A88" w:rsidRPr="00363C62">
        <w:rPr>
          <w:rFonts w:ascii="Arial" w:hAnsi="Arial" w:cs="Arial"/>
        </w:rPr>
        <w:t>exposures</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&lt;EndNote&gt;&lt;Cite&gt;&lt;Author&gt;Southam&lt;/Author&gt;&lt;Year&gt;2014&lt;/Year&gt;&lt;RecNum&gt;1054&lt;/RecNum&gt;&lt;DisplayText&gt;(Southam et al., 2014)&lt;/DisplayText&gt;&lt;record&gt;&lt;rec-number&gt;1054&lt;/rec-number&gt;&lt;foreign-keys&gt;&lt;key app="EN" db-id="x2922pa5k2dxthexst355fze9fs9ssfv9txp" timestamp="1509810570"&gt;1054&lt;/key&gt;&lt;/foreign-keys&gt;&lt;ref-type name="Journal Article"&gt;17&lt;/ref-type&gt;&lt;contributors&gt;&lt;authors&gt;&lt;author&gt;Southam, Andrew D.&lt;/author&gt;&lt;author&gt;Lange, Anke&lt;/author&gt;&lt;author&gt;Al-Salhi, Raghad&lt;/author&gt;&lt;author&gt;Hill, Elizabeth M.&lt;/author&gt;&lt;author&gt;Tyler, Charles R.&lt;/author&gt;&lt;author&gt;Viant, Mark R.&lt;/author&gt;&lt;/authors&gt;&lt;/contributors&gt;&lt;titles&gt;&lt;title&gt;Distinguishing between the metabolome and xenobiotic exposome in environmental field samples analysed by direct-infusion mass spectrometry based metabolomics and lipidomics&lt;/title&gt;&lt;secondary-title&gt;Metabolomics&lt;/secondary-title&gt;&lt;/titles&gt;&lt;periodical&gt;&lt;full-title&gt;Metabolomics&lt;/full-title&gt;&lt;/periodical&gt;&lt;pages&gt;1050-1058&lt;/pages&gt;&lt;volume&gt;10&lt;/volume&gt;&lt;number&gt;6&lt;/number&gt;&lt;dates&gt;&lt;year&gt;2014&lt;/year&gt;&lt;/dates&gt;&lt;isbn&gt;1573-3882&amp;#xD;1573-3890&lt;/isbn&gt;&lt;urls&gt;&lt;/urls&gt;&lt;electronic-resource-num&gt;10.1007/s11306-014-0693-3&lt;/electronic-resource-num&gt;&lt;/record&gt;&lt;/Cite&gt;&lt;/EndNote&gt;</w:instrText>
      </w:r>
      <w:r w:rsidR="00A851B7" w:rsidRPr="00363C62">
        <w:rPr>
          <w:rFonts w:ascii="Arial" w:hAnsi="Arial" w:cs="Arial"/>
        </w:rPr>
        <w:fldChar w:fldCharType="separate"/>
      </w:r>
      <w:r w:rsidR="00447A94">
        <w:rPr>
          <w:rFonts w:ascii="Arial" w:hAnsi="Arial" w:cs="Arial"/>
          <w:noProof/>
        </w:rPr>
        <w:t>(Southam et al., 2014)</w:t>
      </w:r>
      <w:r w:rsidR="00A851B7" w:rsidRPr="00363C62">
        <w:rPr>
          <w:rFonts w:ascii="Arial" w:hAnsi="Arial" w:cs="Arial"/>
        </w:rPr>
        <w:fldChar w:fldCharType="end"/>
      </w:r>
      <w:r w:rsidR="00255826" w:rsidRPr="00363C62">
        <w:rPr>
          <w:rFonts w:ascii="Arial" w:hAnsi="Arial" w:cs="Arial"/>
        </w:rPr>
        <w:t>;</w:t>
      </w:r>
      <w:r w:rsidR="00BA3DE5" w:rsidRPr="00363C62">
        <w:rPr>
          <w:rFonts w:ascii="Arial" w:hAnsi="Arial" w:cs="Arial"/>
        </w:rPr>
        <w:t xml:space="preserve"> </w:t>
      </w:r>
      <w:r w:rsidR="00757517" w:rsidRPr="00363C62">
        <w:rPr>
          <w:rFonts w:ascii="Arial" w:hAnsi="Arial" w:cs="Arial"/>
        </w:rPr>
        <w:t>and</w:t>
      </w:r>
      <w:r w:rsidR="00990F0F" w:rsidRPr="00363C62">
        <w:rPr>
          <w:rFonts w:ascii="Arial" w:hAnsi="Arial" w:cs="Arial"/>
        </w:rPr>
        <w:t xml:space="preserve"> host-microbe interactions and metabolite exchange</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&lt;EndNote&gt;&lt;Cite&gt;&lt;Author&gt;Moriya&lt;/Author&gt;&lt;Year&gt;2017&lt;/Year&gt;&lt;RecNum&gt;1053&lt;/RecNum&gt;&lt;DisplayText&gt;(Moriya, Satomi, Murata, Sawada, &amp;amp; Kobayashi, 2017)&lt;/DisplayText&gt;&lt;record&gt;&lt;rec-number&gt;1053&lt;/rec-number&gt;&lt;foreign-keys&gt;&lt;key app="EN" db-id="x2922pa5k2dxthexst355fze9fs9ssfv9txp" timestamp="1509810491"&gt;1053&lt;/key&gt;&lt;/foreign-keys&gt;&lt;ref-type name="Journal Article"&gt;17&lt;/ref-type&gt;&lt;contributors&gt;&lt;authors&gt;&lt;author&gt;Moriya, Takeo&lt;/author&gt;&lt;author&gt;Satomi, Yoshinori&lt;/author&gt;&lt;author&gt;Murata, Shumpei&lt;/author&gt;&lt;author&gt;Sawada, Hiroshi&lt;/author&gt;&lt;author&gt;Kobayashi, Hiroyuki&lt;/author&gt;&lt;/authors&gt;&lt;/contributors&gt;&lt;titles&gt;&lt;title&gt;Effect of gut microbiota on host whole metabolome&lt;/title&gt;&lt;secondary-title&gt;Metabolomics&lt;/secondary-title&gt;&lt;/titles&gt;&lt;periodical&gt;&lt;full-title&gt;Metabolomics&lt;/full-title&gt;&lt;/periodical&gt;&lt;volume&gt;13&lt;/volume&gt;&lt;number&gt;9&lt;/number&gt;&lt;dates&gt;&lt;year&gt;2017&lt;/year&gt;&lt;/dates&gt;&lt;isbn&gt;1573-3882&amp;#xD;1573-3890&lt;/isbn&gt;&lt;urls&gt;&lt;/urls&gt;&lt;electronic-resource-num&gt;10.1007/s11306-017-1240-9&lt;/electronic-resource-num&gt;&lt;/record&gt;&lt;/Cite&gt;&lt;/EndNote&gt;</w:instrText>
      </w:r>
      <w:r w:rsidR="00A851B7" w:rsidRPr="00363C62">
        <w:rPr>
          <w:rFonts w:ascii="Arial" w:hAnsi="Arial" w:cs="Arial"/>
        </w:rPr>
        <w:fldChar w:fldCharType="separate"/>
      </w:r>
      <w:r w:rsidR="00447A94">
        <w:rPr>
          <w:rFonts w:ascii="Arial" w:hAnsi="Arial" w:cs="Arial"/>
          <w:noProof/>
        </w:rPr>
        <w:t>(Moriya, Satomi, Murata, Sawada, &amp; Kobayashi, 2017)</w:t>
      </w:r>
      <w:r w:rsidR="00A851B7" w:rsidRPr="00363C62">
        <w:rPr>
          <w:rFonts w:ascii="Arial" w:hAnsi="Arial" w:cs="Arial"/>
        </w:rPr>
        <w:fldChar w:fldCharType="end"/>
      </w:r>
      <w:r w:rsidR="00990F0F" w:rsidRPr="00363C62">
        <w:rPr>
          <w:rFonts w:ascii="Arial" w:hAnsi="Arial" w:cs="Arial"/>
        </w:rPr>
        <w:t xml:space="preserve">. </w:t>
      </w:r>
      <w:r w:rsidR="003A24F1" w:rsidRPr="00363C62">
        <w:rPr>
          <w:rFonts w:ascii="Arial" w:hAnsi="Arial" w:cs="Arial"/>
        </w:rPr>
        <w:t>While the generation of ref</w:t>
      </w:r>
      <w:r w:rsidR="00255826" w:rsidRPr="00363C62">
        <w:rPr>
          <w:rFonts w:ascii="Arial" w:hAnsi="Arial" w:cs="Arial"/>
        </w:rPr>
        <w:t>erence human genomes has facilitated</w:t>
      </w:r>
      <w:r w:rsidR="003A24F1" w:rsidRPr="00363C62">
        <w:rPr>
          <w:rFonts w:ascii="Arial" w:hAnsi="Arial" w:cs="Arial"/>
        </w:rPr>
        <w:t xml:space="preserve"> the interrogation of gene-phenome associations (including human disease associations), the intrinsic variability in the metabolome of an organism</w:t>
      </w:r>
      <w:r w:rsidR="007F532B" w:rsidRPr="00363C62">
        <w:rPr>
          <w:rFonts w:ascii="Arial" w:hAnsi="Arial" w:cs="Arial"/>
        </w:rPr>
        <w:t xml:space="preserve"> likely</w:t>
      </w:r>
      <w:r w:rsidR="003A24F1" w:rsidRPr="00363C62">
        <w:rPr>
          <w:rFonts w:ascii="Arial" w:hAnsi="Arial" w:cs="Arial"/>
        </w:rPr>
        <w:t xml:space="preserve"> preclude</w:t>
      </w:r>
      <w:r w:rsidR="007F532B" w:rsidRPr="00363C62">
        <w:rPr>
          <w:rFonts w:ascii="Arial" w:hAnsi="Arial" w:cs="Arial"/>
        </w:rPr>
        <w:t>s</w:t>
      </w:r>
      <w:r w:rsidR="003A24F1" w:rsidRPr="00363C62">
        <w:rPr>
          <w:rFonts w:ascii="Arial" w:hAnsi="Arial" w:cs="Arial"/>
        </w:rPr>
        <w:t xml:space="preserve"> the generation of such a reference model. </w:t>
      </w:r>
      <w:r w:rsidR="00731BFE" w:rsidRPr="00363C62">
        <w:rPr>
          <w:rFonts w:ascii="Arial" w:hAnsi="Arial" w:cs="Arial"/>
        </w:rPr>
        <w:t>While a single reference model of the metabolome of an organism may not be sensible, significant efforts</w:t>
      </w:r>
      <w:r w:rsidR="001C7FE2" w:rsidRPr="00363C62">
        <w:rPr>
          <w:rFonts w:ascii="Arial" w:hAnsi="Arial" w:cs="Arial"/>
        </w:rPr>
        <w:t xml:space="preserve"> such as the </w:t>
      </w:r>
      <w:proofErr w:type="spellStart"/>
      <w:r w:rsidR="001C7FE2" w:rsidRPr="00363C62">
        <w:rPr>
          <w:rFonts w:ascii="Arial" w:hAnsi="Arial" w:cs="Arial"/>
        </w:rPr>
        <w:t>Husermet</w:t>
      </w:r>
      <w:proofErr w:type="spellEnd"/>
      <w:r w:rsidR="001C7FE2" w:rsidRPr="00363C62">
        <w:rPr>
          <w:rFonts w:ascii="Arial" w:hAnsi="Arial" w:cs="Arial"/>
        </w:rPr>
        <w:t xml:space="preserve"> project</w:t>
      </w:r>
      <w:r w:rsidR="00731BFE" w:rsidRPr="00363C62">
        <w:rPr>
          <w:rFonts w:ascii="Arial" w:hAnsi="Arial" w:cs="Arial"/>
        </w:rPr>
        <w:t xml:space="preserve"> </w:t>
      </w:r>
      <w:r w:rsidR="007C3E18" w:rsidRPr="00363C62">
        <w:rPr>
          <w:rFonts w:ascii="Arial" w:hAnsi="Arial" w:cs="Arial"/>
        </w:rPr>
        <w:fldChar w:fldCharType="begin"/>
      </w:r>
      <w:r w:rsidR="00447A94">
        <w:rPr>
          <w:rFonts w:ascii="Arial" w:hAnsi="Arial" w:cs="Arial"/>
        </w:rPr>
        <w:instrText xml:space="preserve"> ADDIN EN.CITE &lt;EndNote&gt;&lt;Cite&gt;&lt;Author&gt;Dunn&lt;/Author&gt;&lt;Year&gt;2014&lt;/Year&gt;&lt;RecNum&gt;1056&lt;/RecNum&gt;&lt;DisplayText&gt;(Dunn et al., 2014)&lt;/DisplayText&gt;&lt;record&gt;&lt;rec-number&gt;1056&lt;/rec-number&gt;&lt;foreign-keys&gt;&lt;key app="EN" db-id="x2922pa5k2dxthexst355fze9fs9ssfv9txp" timestamp="1509812318"&gt;1056&lt;/key&gt;&lt;/foreign-keys&gt;&lt;ref-type name="Journal Article"&gt;17&lt;/ref-type&gt;&lt;contributors&gt;&lt;authors&gt;&lt;author&gt;Dunn, Warwick B.&lt;/author&gt;&lt;author&gt;Lin, Wanchang&lt;/author&gt;&lt;author&gt;Broadhurst, David&lt;/author&gt;&lt;author&gt;Begley, Paul&lt;/author&gt;&lt;author&gt;Brown, Marie&lt;/author&gt;&lt;author&gt;Zelena, Eva&lt;/author&gt;&lt;author&gt;Vaughan, Andrew A.&lt;/author&gt;&lt;author&gt;Halsall, Antony&lt;/author&gt;&lt;author&gt;Harding, Nadine&lt;/author&gt;&lt;author&gt;Knowles, Joshua D.&lt;/author&gt;&lt;author&gt;Francis-McIntyre, Sue&lt;/author&gt;&lt;author&gt;Tseng, Andy&lt;/author&gt;&lt;author&gt;Ellis, David I.&lt;/author&gt;&lt;author&gt;O’Hagan, Steve&lt;/author&gt;&lt;author&gt;Aarons, Gill&lt;/author&gt;&lt;author&gt;Benjamin, Boben&lt;/author&gt;&lt;author&gt;Chew-Graham, Stephen&lt;/author&gt;&lt;author&gt;Moseley, Carly&lt;/author&gt;&lt;author&gt;Potter, Paula&lt;/author&gt;&lt;author&gt;Winder, Catherine L.&lt;/author&gt;&lt;author&gt;Potts, Catherine&lt;/author&gt;&lt;author&gt;Thornton, Paula&lt;/author&gt;&lt;author&gt;McWhirter, Catriona&lt;/author&gt;&lt;author&gt;Zubair, Mohammed&lt;/author&gt;&lt;author&gt;Pan, Martin&lt;/author&gt;&lt;author&gt;Burns, Alistair&lt;/author&gt;&lt;author&gt;Cruickshank, J. Kennedy&lt;/author&gt;&lt;author&gt;Jayson, Gordon C.&lt;/author&gt;&lt;author&gt;Purandare, Nitin&lt;/author&gt;&lt;author&gt;Wu, Frederick C. W.&lt;/author&gt;&lt;author&gt;Finn, Joe D.&lt;/author&gt;&lt;author&gt;Haselden, John N.&lt;/author&gt;&lt;author&gt;Nicholls, Andrew W.&lt;/author&gt;&lt;author&gt;Wilson, Ian D.&lt;/author&gt;&lt;author&gt;Goodacre, Royston&lt;/author&gt;&lt;author&gt;Kell, Douglas B.&lt;/author&gt;&lt;/authors&gt;&lt;/contributors&gt;&lt;titles&gt;&lt;title&gt;Molecular phenotyping of a UK population: defining the human serum metabolome&lt;/title&gt;&lt;secondary-title&gt;Metabolomics&lt;/secondary-title&gt;&lt;/titles&gt;&lt;periodical&gt;&lt;full-title&gt;Metabolomics&lt;/full-title&gt;&lt;/periodical&gt;&lt;pages&gt;9-26&lt;/pages&gt;&lt;volume&gt;11&lt;/volume&gt;&lt;number&gt;1&lt;/number&gt;&lt;dates&gt;&lt;year&gt;2014&lt;/year&gt;&lt;/dates&gt;&lt;isbn&gt;1573-3882&amp;#xD;1573-3890&lt;/isbn&gt;&lt;urls&gt;&lt;/urls&gt;&lt;electronic-resource-num&gt;10.1007/s11306-014-0707-1&lt;/electronic-resource-num&gt;&lt;/record&gt;&lt;/Cite&gt;&lt;/EndNote&gt;</w:instrText>
      </w:r>
      <w:r w:rsidR="007C3E18" w:rsidRPr="00363C62">
        <w:rPr>
          <w:rFonts w:ascii="Arial" w:hAnsi="Arial" w:cs="Arial"/>
        </w:rPr>
        <w:fldChar w:fldCharType="separate"/>
      </w:r>
      <w:r w:rsidR="00447A94">
        <w:rPr>
          <w:rFonts w:ascii="Arial" w:hAnsi="Arial" w:cs="Arial"/>
          <w:noProof/>
        </w:rPr>
        <w:t>(Dunn et al., 2014)</w:t>
      </w:r>
      <w:r w:rsidR="007C3E18" w:rsidRPr="00363C62">
        <w:rPr>
          <w:rFonts w:ascii="Arial" w:hAnsi="Arial" w:cs="Arial"/>
        </w:rPr>
        <w:fldChar w:fldCharType="end"/>
      </w:r>
      <w:r w:rsidR="001C7FE2" w:rsidRPr="00363C62">
        <w:rPr>
          <w:rFonts w:ascii="Arial" w:hAnsi="Arial" w:cs="Arial"/>
        </w:rPr>
        <w:t xml:space="preserve"> </w:t>
      </w:r>
      <w:r w:rsidR="00731BFE" w:rsidRPr="00363C62">
        <w:rPr>
          <w:rFonts w:ascii="Arial" w:hAnsi="Arial" w:cs="Arial"/>
        </w:rPr>
        <w:t xml:space="preserve">have been undertaken to </w:t>
      </w:r>
      <w:r w:rsidR="001C7FE2" w:rsidRPr="00363C62">
        <w:rPr>
          <w:rFonts w:ascii="Arial" w:hAnsi="Arial" w:cs="Arial"/>
        </w:rPr>
        <w:t xml:space="preserve">quantify the repertoire of metabolites in specific biofluids for examining metabolite-metabolite and metabolite-phenotype associations. </w:t>
      </w:r>
      <w:r w:rsidR="00D27318" w:rsidRPr="00363C62">
        <w:rPr>
          <w:rFonts w:ascii="Arial" w:hAnsi="Arial" w:cs="Arial"/>
        </w:rPr>
        <w:t>The learning of probabilistic models that describe the relationship between metabolites, henceforth “interactomes”</w:t>
      </w:r>
      <w:r w:rsidR="00680971" w:rsidRPr="00363C62">
        <w:rPr>
          <w:rFonts w:ascii="Arial" w:hAnsi="Arial" w:cs="Arial"/>
        </w:rPr>
        <w:t>,</w:t>
      </w:r>
      <w:r w:rsidR="00D27318" w:rsidRPr="00363C62">
        <w:rPr>
          <w:rFonts w:ascii="Arial" w:hAnsi="Arial" w:cs="Arial"/>
        </w:rPr>
        <w:t xml:space="preserve"> for a phenotype</w:t>
      </w:r>
      <w:r w:rsidR="00680971" w:rsidRPr="00363C62">
        <w:rPr>
          <w:rFonts w:ascii="Arial" w:hAnsi="Arial" w:cs="Arial"/>
        </w:rPr>
        <w:t xml:space="preserve"> will allow for</w:t>
      </w:r>
      <w:r w:rsidR="00D27318" w:rsidRPr="00363C62">
        <w:rPr>
          <w:rFonts w:ascii="Arial" w:hAnsi="Arial" w:cs="Arial"/>
        </w:rPr>
        <w:t xml:space="preserve"> comparison</w:t>
      </w:r>
      <w:r w:rsidR="00680971" w:rsidRPr="00363C62">
        <w:rPr>
          <w:rFonts w:ascii="Arial" w:hAnsi="Arial" w:cs="Arial"/>
        </w:rPr>
        <w:t>s</w:t>
      </w:r>
      <w:r w:rsidR="00D27318" w:rsidRPr="00363C62">
        <w:rPr>
          <w:rFonts w:ascii="Arial" w:hAnsi="Arial" w:cs="Arial"/>
        </w:rPr>
        <w:t xml:space="preserve"> </w:t>
      </w:r>
      <w:r w:rsidR="00680971" w:rsidRPr="00363C62">
        <w:rPr>
          <w:rFonts w:ascii="Arial" w:hAnsi="Arial" w:cs="Arial"/>
        </w:rPr>
        <w:t>between</w:t>
      </w:r>
      <w:r w:rsidR="00D27318" w:rsidRPr="00363C62">
        <w:rPr>
          <w:rFonts w:ascii="Arial" w:hAnsi="Arial" w:cs="Arial"/>
        </w:rPr>
        <w:t xml:space="preserve"> phenotypes</w:t>
      </w:r>
      <w:r w:rsidR="00680971" w:rsidRPr="00363C62">
        <w:rPr>
          <w:rFonts w:ascii="Arial" w:hAnsi="Arial" w:cs="Arial"/>
        </w:rPr>
        <w:t xml:space="preserve"> that while not global, are </w:t>
      </w:r>
      <w:r w:rsidR="00E0529E" w:rsidRPr="00363C62">
        <w:rPr>
          <w:rFonts w:ascii="Arial" w:hAnsi="Arial" w:cs="Arial"/>
        </w:rPr>
        <w:t>comprehensive given the sample media and analytical platform</w:t>
      </w:r>
      <w:r w:rsidR="00680971" w:rsidRPr="00363C62">
        <w:rPr>
          <w:rFonts w:ascii="Arial" w:hAnsi="Arial" w:cs="Arial"/>
        </w:rPr>
        <w:t xml:space="preserve">. </w:t>
      </w:r>
      <w:r w:rsidR="00013C79" w:rsidRPr="00363C62">
        <w:rPr>
          <w:rFonts w:ascii="Arial" w:hAnsi="Arial" w:cs="Arial"/>
        </w:rPr>
        <w:t xml:space="preserve">A specific use case for such an interactome model is the generation of a plasma interactome model for stable heart disease to serve as a reference model for determining metabolic perturbations associated with acute disease events such as unstable angina and myocardial infarction (MI). </w:t>
      </w:r>
    </w:p>
    <w:p w:rsidR="00E70079" w:rsidRDefault="009F750E" w:rsidP="00095E00">
      <w:pPr>
        <w:jc w:val="both"/>
        <w:rPr>
          <w:rFonts w:ascii="Arial" w:hAnsi="Arial" w:cs="Arial"/>
        </w:rPr>
      </w:pPr>
      <w:r>
        <w:rPr>
          <w:rFonts w:ascii="Arial" w:hAnsi="Arial" w:cs="Arial"/>
        </w:rPr>
        <w:t>While correlation networks have be</w:t>
      </w:r>
      <w:r w:rsidR="00037E67">
        <w:rPr>
          <w:rFonts w:ascii="Arial" w:hAnsi="Arial" w:cs="Arial"/>
        </w:rPr>
        <w:t>en used to describe the</w:t>
      </w:r>
      <w:r>
        <w:rPr>
          <w:rFonts w:ascii="Arial" w:hAnsi="Arial" w:cs="Arial"/>
        </w:rPr>
        <w:t xml:space="preserve"> relationships between metabolites</w:t>
      </w:r>
      <w:r w:rsidR="00F64B05">
        <w:rPr>
          <w:rFonts w:ascii="Arial" w:hAnsi="Arial" w:cs="Arial"/>
        </w:rPr>
        <w:t xml:space="preserve"> in many metabolomics experiments</w:t>
      </w:r>
      <w:r>
        <w:rPr>
          <w:rFonts w:ascii="Arial" w:hAnsi="Arial" w:cs="Arial"/>
        </w:rPr>
        <w:t xml:space="preserve"> (see for example</w:t>
      </w:r>
      <w:r w:rsidR="005A28C8">
        <w:rPr>
          <w:rFonts w:ascii="Arial" w:hAnsi="Arial" w:cs="Arial"/>
        </w:rPr>
        <w:t xml:space="preserve"> [</w:t>
      </w:r>
      <w:r w:rsidR="005A28C8" w:rsidRPr="005A28C8">
        <w:rPr>
          <w:rFonts w:ascii="Arial" w:hAnsi="Arial" w:cs="Arial"/>
          <w:highlight w:val="yellow"/>
        </w:rPr>
        <w:t>citation</w:t>
      </w:r>
      <w:r w:rsidR="005A28C8">
        <w:rPr>
          <w:rFonts w:ascii="Arial" w:hAnsi="Arial" w:cs="Arial"/>
        </w:rPr>
        <w:t>]</w:t>
      </w:r>
      <w:r>
        <w:rPr>
          <w:rFonts w:ascii="Arial" w:hAnsi="Arial" w:cs="Arial"/>
        </w:rPr>
        <w:t xml:space="preserve">), </w:t>
      </w:r>
      <w:r w:rsidR="00037E67">
        <w:rPr>
          <w:rFonts w:ascii="Arial" w:hAnsi="Arial" w:cs="Arial"/>
        </w:rPr>
        <w:t xml:space="preserve">this approach is limited as the topology </w:t>
      </w:r>
      <w:r w:rsidR="00E5190D">
        <w:rPr>
          <w:rFonts w:ascii="Arial" w:hAnsi="Arial" w:cs="Arial"/>
        </w:rPr>
        <w:t>lear</w:t>
      </w:r>
      <w:r w:rsidR="002424BB">
        <w:rPr>
          <w:rFonts w:ascii="Arial" w:hAnsi="Arial" w:cs="Arial"/>
        </w:rPr>
        <w:t>ned represents only the pairwise marginal</w:t>
      </w:r>
      <w:r w:rsidR="00E5190D">
        <w:rPr>
          <w:rFonts w:ascii="Arial" w:hAnsi="Arial" w:cs="Arial"/>
        </w:rPr>
        <w:t xml:space="preserve"> association</w:t>
      </w:r>
      <w:r w:rsidR="00F64B05">
        <w:rPr>
          <w:rFonts w:ascii="Arial" w:hAnsi="Arial" w:cs="Arial"/>
        </w:rPr>
        <w:t>s</w:t>
      </w:r>
      <w:r w:rsidR="00E5190D">
        <w:rPr>
          <w:rFonts w:ascii="Arial" w:hAnsi="Arial" w:cs="Arial"/>
        </w:rPr>
        <w:t xml:space="preserve"> between metabolites</w:t>
      </w:r>
      <w:r w:rsidR="00D72142">
        <w:rPr>
          <w:rFonts w:ascii="Arial" w:hAnsi="Arial" w:cs="Arial"/>
        </w:rPr>
        <w:t>. Determining</w:t>
      </w:r>
      <w:r w:rsidR="008B5846">
        <w:rPr>
          <w:rFonts w:ascii="Arial" w:hAnsi="Arial" w:cs="Arial"/>
        </w:rPr>
        <w:t xml:space="preserve"> conditional relati</w:t>
      </w:r>
      <w:r w:rsidR="00D72142">
        <w:rPr>
          <w:rFonts w:ascii="Arial" w:hAnsi="Arial" w:cs="Arial"/>
        </w:rPr>
        <w:t xml:space="preserve">onships between metabolites allows for making inferences </w:t>
      </w:r>
      <w:r w:rsidR="005F3778">
        <w:rPr>
          <w:rFonts w:ascii="Arial" w:hAnsi="Arial" w:cs="Arial"/>
        </w:rPr>
        <w:t>over</w:t>
      </w:r>
      <w:r w:rsidR="00D72142">
        <w:rPr>
          <w:rFonts w:ascii="Arial" w:hAnsi="Arial" w:cs="Arial"/>
        </w:rPr>
        <w:t xml:space="preserve"> how the abundance of a specific metabolite</w:t>
      </w:r>
      <w:r w:rsidR="005F3778">
        <w:rPr>
          <w:rFonts w:ascii="Arial" w:hAnsi="Arial" w:cs="Arial"/>
        </w:rPr>
        <w:t>s</w:t>
      </w:r>
      <w:r w:rsidR="00D72142">
        <w:rPr>
          <w:rFonts w:ascii="Arial" w:hAnsi="Arial" w:cs="Arial"/>
        </w:rPr>
        <w:t xml:space="preserve"> influences the abundance of other metabolite</w:t>
      </w:r>
      <w:r w:rsidR="005F3778">
        <w:rPr>
          <w:rFonts w:ascii="Arial" w:hAnsi="Arial" w:cs="Arial"/>
        </w:rPr>
        <w:t>s</w:t>
      </w:r>
      <w:r w:rsidR="00D72142">
        <w:rPr>
          <w:rFonts w:ascii="Arial" w:hAnsi="Arial" w:cs="Arial"/>
        </w:rPr>
        <w:t xml:space="preserve"> after </w:t>
      </w:r>
      <w:r w:rsidR="005F3778">
        <w:rPr>
          <w:rFonts w:ascii="Arial" w:hAnsi="Arial" w:cs="Arial"/>
        </w:rPr>
        <w:t xml:space="preserve">conditioning on the abundance of other </w:t>
      </w:r>
      <w:r w:rsidR="005F3778">
        <w:rPr>
          <w:rFonts w:ascii="Arial" w:hAnsi="Arial" w:cs="Arial"/>
        </w:rPr>
        <w:lastRenderedPageBreak/>
        <w:t>intermediates</w:t>
      </w:r>
      <w:r w:rsidR="00022F77">
        <w:rPr>
          <w:rFonts w:ascii="Arial" w:hAnsi="Arial" w:cs="Arial"/>
        </w:rPr>
        <w:t>.</w:t>
      </w:r>
      <w:r w:rsidR="00DA6ADF">
        <w:rPr>
          <w:rFonts w:ascii="Arial" w:hAnsi="Arial" w:cs="Arial"/>
        </w:rPr>
        <w:t xml:space="preserve"> </w:t>
      </w:r>
      <w:proofErr w:type="gramStart"/>
      <w:r w:rsidR="00460D40">
        <w:rPr>
          <w:rFonts w:ascii="Arial" w:hAnsi="Arial" w:cs="Arial"/>
        </w:rPr>
        <w:t>In order to</w:t>
      </w:r>
      <w:proofErr w:type="gramEnd"/>
      <w:r w:rsidR="00460D40">
        <w:rPr>
          <w:rFonts w:ascii="Arial" w:hAnsi="Arial" w:cs="Arial"/>
        </w:rPr>
        <w:t xml:space="preserve"> model</w:t>
      </w:r>
      <w:r w:rsidR="00BF7D2F">
        <w:rPr>
          <w:rFonts w:ascii="Arial" w:hAnsi="Arial" w:cs="Arial"/>
        </w:rPr>
        <w:t xml:space="preserve"> </w:t>
      </w:r>
      <w:r w:rsidR="00460D40">
        <w:rPr>
          <w:rFonts w:ascii="Arial" w:hAnsi="Arial" w:cs="Arial"/>
        </w:rPr>
        <w:t>such</w:t>
      </w:r>
      <w:r w:rsidR="00BF7D2F">
        <w:rPr>
          <w:rFonts w:ascii="Arial" w:hAnsi="Arial" w:cs="Arial"/>
        </w:rPr>
        <w:t xml:space="preserve"> conditional probabilistic dependence</w:t>
      </w:r>
      <w:r w:rsidR="00460D40">
        <w:rPr>
          <w:rFonts w:ascii="Arial" w:hAnsi="Arial" w:cs="Arial"/>
        </w:rPr>
        <w:t>s</w:t>
      </w:r>
      <w:r w:rsidR="00BF7D2F">
        <w:rPr>
          <w:rFonts w:ascii="Arial" w:hAnsi="Arial" w:cs="Arial"/>
        </w:rPr>
        <w:t xml:space="preserve"> between metabolite abundances, a Gaussian Graphical Model </w:t>
      </w:r>
      <w:r w:rsidR="00EB4F97">
        <w:rPr>
          <w:rFonts w:ascii="Arial" w:hAnsi="Arial" w:cs="Arial"/>
        </w:rPr>
        <w:t xml:space="preserve">(GGM) approach may be employed as in the present work. </w:t>
      </w:r>
      <w:r w:rsidR="005454DF">
        <w:rPr>
          <w:rFonts w:ascii="Arial" w:hAnsi="Arial" w:cs="Arial"/>
        </w:rPr>
        <w:t>GGMs provide a suitable framework for representing the joint probability distribution of metabolites that are detected in metabolomics experiments and for representing the probabilistic interactions between metabolites</w:t>
      </w:r>
      <w:r w:rsidR="00022F77">
        <w:rPr>
          <w:rFonts w:ascii="Arial" w:hAnsi="Arial" w:cs="Arial"/>
        </w:rPr>
        <w:t xml:space="preserve"> and have been employed in interaction modeling in other domains of molecular biology (</w:t>
      </w:r>
      <w:r w:rsidR="00022F77" w:rsidRPr="003527D3">
        <w:rPr>
          <w:rFonts w:ascii="Arial" w:hAnsi="Arial" w:cs="Arial"/>
          <w:highlight w:val="yellow"/>
        </w:rPr>
        <w:t>see for example</w:t>
      </w:r>
      <w:proofErr w:type="gramStart"/>
      <w:r w:rsidR="00022F77" w:rsidRPr="003527D3">
        <w:rPr>
          <w:rFonts w:ascii="Arial" w:hAnsi="Arial" w:cs="Arial"/>
          <w:highlight w:val="yellow"/>
        </w:rPr>
        <w:t>:</w:t>
      </w:r>
      <w:r w:rsidR="00022F77">
        <w:rPr>
          <w:rFonts w:ascii="Arial" w:hAnsi="Arial" w:cs="Arial"/>
        </w:rPr>
        <w:t xml:space="preserve"> )</w:t>
      </w:r>
      <w:proofErr w:type="gramEnd"/>
      <w:r w:rsidR="00022F77">
        <w:rPr>
          <w:rFonts w:ascii="Arial" w:hAnsi="Arial" w:cs="Arial"/>
        </w:rPr>
        <w:t>.</w:t>
      </w:r>
    </w:p>
    <w:p w:rsidR="00A851B7" w:rsidRDefault="00E214CE" w:rsidP="00095E00">
      <w:pPr>
        <w:jc w:val="both"/>
      </w:pPr>
      <w:r>
        <w:rPr>
          <w:rFonts w:ascii="Arial" w:hAnsi="Arial" w:cs="Arial"/>
        </w:rPr>
        <w:t xml:space="preserve">A significant challenge in </w:t>
      </w:r>
      <w:r w:rsidR="008D3A92">
        <w:rPr>
          <w:rFonts w:ascii="Arial" w:hAnsi="Arial" w:cs="Arial"/>
        </w:rPr>
        <w:t>evaluating th</w:t>
      </w:r>
      <w:r w:rsidR="005A689B">
        <w:rPr>
          <w:rFonts w:ascii="Arial" w:hAnsi="Arial" w:cs="Arial"/>
        </w:rPr>
        <w:t xml:space="preserve">e </w:t>
      </w:r>
      <w:r>
        <w:rPr>
          <w:rFonts w:ascii="Arial" w:hAnsi="Arial" w:cs="Arial"/>
        </w:rPr>
        <w:t>relationships between metabolites in an untargeted metabolomics experiment</w:t>
      </w:r>
      <w:r w:rsidR="006E1E08">
        <w:rPr>
          <w:rFonts w:ascii="Arial" w:hAnsi="Arial" w:cs="Arial"/>
        </w:rPr>
        <w:t xml:space="preserve"> is that </w:t>
      </w:r>
      <w:r w:rsidR="009D0415">
        <w:rPr>
          <w:rFonts w:ascii="Arial" w:hAnsi="Arial" w:cs="Arial"/>
        </w:rPr>
        <w:t xml:space="preserve">the dimension of metabolites may be greater than the number of samples. </w:t>
      </w:r>
      <w:r w:rsidR="005A689B">
        <w:rPr>
          <w:rFonts w:ascii="Arial" w:hAnsi="Arial" w:cs="Arial"/>
        </w:rPr>
        <w:t xml:space="preserve">Even </w:t>
      </w:r>
      <w:r w:rsidR="00810E77">
        <w:rPr>
          <w:rFonts w:ascii="Arial" w:hAnsi="Arial" w:cs="Arial"/>
        </w:rPr>
        <w:t>given</w:t>
      </w:r>
      <w:r w:rsidR="001577CA">
        <w:rPr>
          <w:rFonts w:ascii="Arial" w:hAnsi="Arial" w:cs="Arial"/>
        </w:rPr>
        <w:t xml:space="preserve"> a relatively high ratio of samples to metabolites detected</w:t>
      </w:r>
      <w:r w:rsidR="009D0415">
        <w:rPr>
          <w:rFonts w:ascii="Arial" w:hAnsi="Arial" w:cs="Arial"/>
        </w:rPr>
        <w:t>,</w:t>
      </w:r>
      <w:r w:rsidR="005A689B">
        <w:rPr>
          <w:rFonts w:ascii="Arial" w:hAnsi="Arial" w:cs="Arial"/>
        </w:rPr>
        <w:t xml:space="preserve"> in</w:t>
      </w:r>
      <w:r w:rsidR="009D0415">
        <w:rPr>
          <w:rFonts w:ascii="Arial" w:hAnsi="Arial" w:cs="Arial"/>
        </w:rPr>
        <w:t xml:space="preserve"> </w:t>
      </w:r>
      <w:r w:rsidR="00116B1A">
        <w:rPr>
          <w:rFonts w:ascii="Arial" w:hAnsi="Arial" w:cs="Arial"/>
        </w:rPr>
        <w:t>t</w:t>
      </w:r>
      <w:r w:rsidR="005A689B">
        <w:rPr>
          <w:rFonts w:ascii="Arial" w:hAnsi="Arial" w:cs="Arial"/>
        </w:rPr>
        <w:t>he</w:t>
      </w:r>
      <w:r w:rsidR="00116B1A">
        <w:rPr>
          <w:rFonts w:ascii="Arial" w:hAnsi="Arial" w:cs="Arial"/>
        </w:rPr>
        <w:t xml:space="preserve"> </w:t>
      </w:r>
      <w:r w:rsidR="005A689B">
        <w:rPr>
          <w:rFonts w:ascii="Arial" w:hAnsi="Arial" w:cs="Arial"/>
        </w:rPr>
        <w:t>evaluation of</w:t>
      </w:r>
      <w:r w:rsidR="009D0415">
        <w:rPr>
          <w:rFonts w:ascii="Arial" w:hAnsi="Arial" w:cs="Arial"/>
        </w:rPr>
        <w:t xml:space="preserve"> pairwise conditional relationships between metabolites, the number of parameters to be estimated </w:t>
      </w:r>
      <w:r w:rsidR="00116B1A">
        <w:rPr>
          <w:rFonts w:ascii="Arial" w:hAnsi="Arial" w:cs="Arial"/>
        </w:rPr>
        <w:t xml:space="preserve">can be prohibitive. </w:t>
      </w:r>
      <w:r w:rsidR="00941F86">
        <w:rPr>
          <w:rFonts w:ascii="Arial" w:hAnsi="Arial" w:cs="Arial"/>
        </w:rPr>
        <w:t xml:space="preserve">For example, if </w:t>
      </w:r>
      <m:oMath>
        <m:r>
          <w:rPr>
            <w:rFonts w:ascii="Cambria Math" w:hAnsi="Cambria Math" w:cs="Arial"/>
          </w:rPr>
          <m:t>p=500</m:t>
        </m:r>
      </m:oMath>
      <w:r w:rsidR="00941F86">
        <w:rPr>
          <w:rFonts w:ascii="Arial" w:eastAsiaTheme="minorEastAsia" w:hAnsi="Arial" w:cs="Arial"/>
        </w:rPr>
        <w:t xml:space="preserve"> metabolites are detected,</w:t>
      </w:r>
      <w:r w:rsidR="00C40259">
        <w:rPr>
          <w:rFonts w:ascii="Arial" w:eastAsiaTheme="minorEastAsia" w:hAnsi="Arial" w:cs="Arial"/>
        </w:rPr>
        <w:t xml:space="preserve"> an evaluation of all pairwise conditional relationships would require the simultaneous estimation of 124,560 parameters. </w:t>
      </w:r>
      <w:r w:rsidR="005454DF">
        <w:rPr>
          <w:rFonts w:ascii="Arial" w:eastAsiaTheme="minorEastAsia" w:hAnsi="Arial" w:cs="Arial"/>
        </w:rPr>
        <w:t xml:space="preserve">The use of regularization is a </w:t>
      </w:r>
      <w:r w:rsidR="008333CD">
        <w:rPr>
          <w:rFonts w:ascii="Arial" w:eastAsiaTheme="minorEastAsia" w:hAnsi="Arial" w:cs="Arial"/>
        </w:rPr>
        <w:t>well-established</w:t>
      </w:r>
      <w:r w:rsidR="005454DF">
        <w:rPr>
          <w:rFonts w:ascii="Arial" w:eastAsiaTheme="minorEastAsia" w:hAnsi="Arial" w:cs="Arial"/>
        </w:rPr>
        <w:t xml:space="preserve"> approach </w:t>
      </w:r>
      <w:r w:rsidR="008333CD">
        <w:rPr>
          <w:rFonts w:ascii="Arial" w:eastAsiaTheme="minorEastAsia" w:hAnsi="Arial" w:cs="Arial"/>
        </w:rPr>
        <w:t xml:space="preserve">for guaranteeing the existence of </w:t>
      </w:r>
      <w:r w:rsidR="005454DF">
        <w:rPr>
          <w:rFonts w:ascii="Arial" w:eastAsiaTheme="minorEastAsia" w:hAnsi="Arial" w:cs="Arial"/>
        </w:rPr>
        <w:t>Gaussian Graphical Model parameters</w:t>
      </w:r>
      <w:r w:rsidR="00EF022D">
        <w:rPr>
          <w:rFonts w:ascii="Arial" w:eastAsiaTheme="minorEastAsia" w:hAnsi="Arial" w:cs="Arial"/>
        </w:rPr>
        <w:t>, amenable to</w:t>
      </w:r>
      <w:r w:rsidR="008333CD">
        <w:rPr>
          <w:rFonts w:ascii="Arial" w:eastAsiaTheme="minorEastAsia" w:hAnsi="Arial" w:cs="Arial"/>
        </w:rPr>
        <w:t xml:space="preserve"> the case that the sample size </w:t>
      </w:r>
      <m:oMath>
        <m:r>
          <w:rPr>
            <w:rFonts w:ascii="Cambria Math" w:eastAsiaTheme="minorEastAsia" w:hAnsi="Cambria Math" w:cs="Arial"/>
          </w:rPr>
          <m:t>n</m:t>
        </m:r>
      </m:oMath>
      <w:r w:rsidR="008333CD">
        <w:rPr>
          <w:rFonts w:ascii="Arial" w:eastAsiaTheme="minorEastAsia" w:hAnsi="Arial" w:cs="Arial"/>
        </w:rPr>
        <w:t xml:space="preserve"> is less than </w:t>
      </w:r>
      <m:oMath>
        <m:r>
          <w:rPr>
            <w:rFonts w:ascii="Cambria Math" w:eastAsiaTheme="minorEastAsia" w:hAnsi="Cambria Math" w:cs="Arial"/>
          </w:rPr>
          <m:t>p</m:t>
        </m:r>
      </m:oMath>
      <w:r w:rsidR="000106D6" w:rsidRPr="000106D6">
        <w:t xml:space="preserve"> </w:t>
      </w:r>
      <w:r w:rsidR="000106D6">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 </w:instrText>
      </w:r>
      <w:r w:rsidR="008D2935">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EN.CITE.DATA </w:instrText>
      </w:r>
      <w:r w:rsidR="008D2935">
        <w:fldChar w:fldCharType="end"/>
      </w:r>
      <w:r w:rsidR="000106D6">
        <w:fldChar w:fldCharType="separate"/>
      </w:r>
      <w:r w:rsidR="008D2935">
        <w:rPr>
          <w:noProof/>
        </w:rPr>
        <w:t>(Banerjee, El Ghaoui, &amp; d'Aspremont, 2008; Fan, Feng, &amp; Wu, 2009; Friedman, Hastie, &amp; Tibshirani, 2007; Meinshausen &amp; Bühlmann, 2006; Yuan &amp; Lin, 2007)</w:t>
      </w:r>
      <w:r w:rsidR="000106D6">
        <w:fldChar w:fldCharType="end"/>
      </w:r>
      <w:r w:rsidR="00273FEF">
        <w:t>.</w:t>
      </w:r>
    </w:p>
    <w:p w:rsidR="008C12BB" w:rsidRDefault="006B6F2A" w:rsidP="00095E00">
      <w:pPr>
        <w:jc w:val="both"/>
        <w:rPr>
          <w:rFonts w:ascii="Arial" w:hAnsi="Arial" w:cs="Arial"/>
        </w:rPr>
      </w:pPr>
      <w:r>
        <w:rPr>
          <w:rFonts w:ascii="Arial" w:hAnsi="Arial" w:cs="Arial"/>
        </w:rPr>
        <w:t xml:space="preserve">Penalized estimation of GGM parameters provides a natural </w:t>
      </w:r>
      <w:r w:rsidR="00652610">
        <w:rPr>
          <w:rFonts w:ascii="Arial" w:hAnsi="Arial" w:cs="Arial"/>
        </w:rPr>
        <w:t>mechanism</w:t>
      </w:r>
      <w:r>
        <w:rPr>
          <w:rFonts w:ascii="Arial" w:hAnsi="Arial" w:cs="Arial"/>
        </w:rPr>
        <w:t xml:space="preserve"> for integrating </w:t>
      </w:r>
      <w:r w:rsidRPr="006B6F2A">
        <w:rPr>
          <w:rFonts w:ascii="Arial" w:hAnsi="Arial" w:cs="Arial"/>
          <w:i/>
        </w:rPr>
        <w:t>a priori</w:t>
      </w:r>
      <w:r>
        <w:rPr>
          <w:rFonts w:ascii="Arial" w:hAnsi="Arial" w:cs="Arial"/>
        </w:rPr>
        <w:t xml:space="preserve"> knowledge regarding the molecular structure of metabolites </w:t>
      </w:r>
      <w:r w:rsidR="00652610">
        <w:rPr>
          <w:rFonts w:ascii="Arial" w:hAnsi="Arial" w:cs="Arial"/>
        </w:rPr>
        <w:t>with experimental metabolomics data.</w:t>
      </w:r>
      <w:r w:rsidR="00D61C75">
        <w:rPr>
          <w:rFonts w:ascii="Arial" w:hAnsi="Arial" w:cs="Arial"/>
        </w:rPr>
        <w:t xml:space="preserve"> The integration of empirical data and scientific knowledge regarding metabolism is common in metabolomics studies. Typically, univariate and/or multivariate analyses first identify sets of metabolite features for which evidence of differences between experimental conditions or phenotypes are observed. After identifying interesting metabolite features, these sets can be tested for</w:t>
      </w:r>
      <w:r w:rsidR="006517B9">
        <w:rPr>
          <w:rFonts w:ascii="Arial" w:hAnsi="Arial" w:cs="Arial"/>
        </w:rPr>
        <w:t xml:space="preserve"> </w:t>
      </w:r>
      <w:r w:rsidR="00D61C75">
        <w:rPr>
          <w:rFonts w:ascii="Arial" w:hAnsi="Arial" w:cs="Arial"/>
        </w:rPr>
        <w:t>enrichment of specific metabolic pathways [citation] or biological processes</w:t>
      </w:r>
      <w:r w:rsidR="006517B9">
        <w:rPr>
          <w:rFonts w:ascii="Arial" w:hAnsi="Arial" w:cs="Arial"/>
        </w:rPr>
        <w:t xml:space="preserve"> greater than that expected by chance</w:t>
      </w:r>
      <w:r w:rsidR="003D43C3">
        <w:rPr>
          <w:rFonts w:ascii="Arial" w:hAnsi="Arial" w:cs="Arial"/>
        </w:rPr>
        <w:t>.</w:t>
      </w:r>
      <w:r w:rsidR="006517B9">
        <w:rPr>
          <w:rFonts w:ascii="Arial" w:hAnsi="Arial" w:cs="Arial"/>
        </w:rPr>
        <w:t xml:space="preserve"> A promising </w:t>
      </w:r>
      <w:r w:rsidR="00AE6731">
        <w:rPr>
          <w:rFonts w:ascii="Arial" w:hAnsi="Arial" w:cs="Arial"/>
        </w:rPr>
        <w:t>alternative to pathway analyses</w:t>
      </w:r>
      <w:r w:rsidR="006517B9">
        <w:rPr>
          <w:rFonts w:ascii="Arial" w:hAnsi="Arial" w:cs="Arial"/>
        </w:rPr>
        <w:t xml:space="preserve"> discussed in</w:t>
      </w:r>
      <w:r w:rsidR="001225F6">
        <w:rPr>
          <w:rFonts w:ascii="Arial" w:hAnsi="Arial" w:cs="Arial"/>
        </w:rPr>
        <w:t xml:space="preserve"> </w:t>
      </w:r>
      <w:r w:rsidR="00AE6731">
        <w:rPr>
          <w:rFonts w:ascii="Arial" w:hAnsi="Arial" w:cs="Arial"/>
        </w:rPr>
        <w:fldChar w:fldCharType="begin"/>
      </w:r>
      <w:r w:rsidR="00AE6731">
        <w:rPr>
          <w:rFonts w:ascii="Arial" w:hAnsi="Arial" w:cs="Arial"/>
        </w:rPr>
        <w:instrText xml:space="preserve"> ADDIN EN.CITE &lt;EndNote&gt;&lt;Cite&gt;&lt;Author&gt;Barupal&lt;/Author&gt;&lt;Year&gt;2017&lt;/Year&gt;&lt;RecNum&gt;1059&lt;/RecNum&gt;&lt;DisplayText&gt;(Barupal &amp;amp; Fiehn, 2017)&lt;/DisplayText&gt;&lt;record&gt;&lt;rec-number&gt;1059&lt;/rec-number&gt;&lt;foreign-keys&gt;&lt;key app="EN" db-id="x2922pa5k2dxthexst355fze9fs9ssfv9txp" timestamp="1511451232"&gt;1059&lt;/key&gt;&lt;/foreign-keys&gt;&lt;ref-type name="Journal Article"&gt;17&lt;/ref-type&gt;&lt;contributors&gt;&lt;authors&gt;&lt;author&gt;Barupal, Dinesh Kumar&lt;/author&gt;&lt;author&gt;Fiehn, Oliver&lt;/author&gt;&lt;/authors&gt;&lt;/contributors&gt;&lt;titles&gt;&lt;title&gt;Chemical Similarity Enrichment Analysis (ChemRICH) as alternative to biochemical pathway mapping for metabolomic datasets&lt;/title&gt;&lt;secondary-title&gt;Scientific Reports&lt;/secondary-title&gt;&lt;/titles&gt;&lt;periodical&gt;&lt;full-title&gt;Scientific Reports&lt;/full-title&gt;&lt;/periodical&gt;&lt;volume&gt;7&lt;/volume&gt;&lt;number&gt;1&lt;/number&gt;&lt;dates&gt;&lt;year&gt;2017&lt;/year&gt;&lt;/dates&gt;&lt;isbn&gt;2045-2322&lt;/isbn&gt;&lt;urls&gt;&lt;/urls&gt;&lt;electronic-resource-num&gt;10.1038/s41598-017-15231-w&lt;/electronic-resource-num&gt;&lt;/record&gt;&lt;/Cite&gt;&lt;/EndNote&gt;</w:instrText>
      </w:r>
      <w:r w:rsidR="00AE6731">
        <w:rPr>
          <w:rFonts w:ascii="Arial" w:hAnsi="Arial" w:cs="Arial"/>
        </w:rPr>
        <w:fldChar w:fldCharType="separate"/>
      </w:r>
      <w:r w:rsidR="00AE6731">
        <w:rPr>
          <w:rFonts w:ascii="Arial" w:hAnsi="Arial" w:cs="Arial"/>
          <w:noProof/>
        </w:rPr>
        <w:t>(Barupal &amp; Fiehn, 2017)</w:t>
      </w:r>
      <w:r w:rsidR="00AE6731">
        <w:rPr>
          <w:rFonts w:ascii="Arial" w:hAnsi="Arial" w:cs="Arial"/>
        </w:rPr>
        <w:fldChar w:fldCharType="end"/>
      </w:r>
      <w:r w:rsidR="006517B9">
        <w:rPr>
          <w:rFonts w:ascii="Arial" w:hAnsi="Arial" w:cs="Arial"/>
        </w:rPr>
        <w:t xml:space="preserve"> </w:t>
      </w:r>
      <w:r w:rsidR="00AE6731">
        <w:rPr>
          <w:rFonts w:ascii="Arial" w:hAnsi="Arial" w:cs="Arial"/>
        </w:rPr>
        <w:t xml:space="preserve">is to use structural similarity and chemical ontology to generate study-specific metabolite sets for contextualizing empirical results with </w:t>
      </w:r>
      <w:r w:rsidR="00AE6731">
        <w:rPr>
          <w:rFonts w:ascii="Arial" w:hAnsi="Arial" w:cs="Arial"/>
          <w:i/>
        </w:rPr>
        <w:t>a priori</w:t>
      </w:r>
      <w:r w:rsidR="00AE6731">
        <w:rPr>
          <w:rFonts w:ascii="Arial" w:hAnsi="Arial" w:cs="Arial"/>
        </w:rPr>
        <w:t xml:space="preserve"> knowledge of metabolism. </w:t>
      </w:r>
      <w:r w:rsidR="001225F6">
        <w:rPr>
          <w:rFonts w:ascii="Arial" w:hAnsi="Arial" w:cs="Arial"/>
        </w:rPr>
        <w:t>The current work is</w:t>
      </w:r>
      <w:r w:rsidR="00AE6731">
        <w:rPr>
          <w:rFonts w:ascii="Arial" w:hAnsi="Arial" w:cs="Arial"/>
        </w:rPr>
        <w:t xml:space="preserve"> of a similar paradigm and</w:t>
      </w:r>
      <w:r w:rsidR="001225F6">
        <w:rPr>
          <w:rFonts w:ascii="Arial" w:hAnsi="Arial" w:cs="Arial"/>
        </w:rPr>
        <w:t xml:space="preserve"> predicated on the assumption that the individual biochemical reactions that result in statistical dependence between metabolic intermediates also</w:t>
      </w:r>
      <w:r w:rsidR="00D51965">
        <w:rPr>
          <w:rFonts w:ascii="Arial" w:hAnsi="Arial" w:cs="Arial"/>
        </w:rPr>
        <w:t xml:space="preserve"> generate</w:t>
      </w:r>
      <w:r w:rsidR="00E92D43">
        <w:rPr>
          <w:rFonts w:ascii="Arial" w:hAnsi="Arial" w:cs="Arial"/>
        </w:rPr>
        <w:t xml:space="preserve"> statistical dependence in </w:t>
      </w:r>
      <w:r w:rsidR="001225F6">
        <w:rPr>
          <w:rFonts w:ascii="Arial" w:hAnsi="Arial" w:cs="Arial"/>
        </w:rPr>
        <w:t>structural similarity between</w:t>
      </w:r>
      <w:r w:rsidR="00E3239E">
        <w:rPr>
          <w:rFonts w:ascii="Arial" w:hAnsi="Arial" w:cs="Arial"/>
        </w:rPr>
        <w:t xml:space="preserve"> the same</w:t>
      </w:r>
      <w:r w:rsidR="001225F6">
        <w:rPr>
          <w:rFonts w:ascii="Arial" w:hAnsi="Arial" w:cs="Arial"/>
        </w:rPr>
        <w:t xml:space="preserve"> intermediates.</w:t>
      </w:r>
      <w:r w:rsidR="00D1690E">
        <w:rPr>
          <w:rFonts w:ascii="Arial" w:hAnsi="Arial" w:cs="Arial"/>
        </w:rPr>
        <w:t xml:space="preserve"> However, rather than considering fixed sets of metabolites</w:t>
      </w:r>
      <w:r w:rsidR="009A6295">
        <w:rPr>
          <w:rFonts w:ascii="Arial" w:hAnsi="Arial" w:cs="Arial"/>
        </w:rPr>
        <w:t xml:space="preserve"> such as pathways or modules and subsequently quantifying enrichment of these sets in empirical results, we consider </w:t>
      </w:r>
      <w:r w:rsidR="009A6295">
        <w:rPr>
          <w:rFonts w:ascii="Arial" w:hAnsi="Arial" w:cs="Arial"/>
          <w:i/>
        </w:rPr>
        <w:t>a priori</w:t>
      </w:r>
      <w:r w:rsidR="009A6295">
        <w:rPr>
          <w:rFonts w:ascii="Arial" w:hAnsi="Arial" w:cs="Arial"/>
        </w:rPr>
        <w:t xml:space="preserve"> knowledge of the relationships between metabolites as probabilistic statements about the relatedness of compounds. Thus</w:t>
      </w:r>
      <w:r w:rsidR="00E82B7D">
        <w:rPr>
          <w:rFonts w:ascii="Arial" w:hAnsi="Arial" w:cs="Arial"/>
        </w:rPr>
        <w:t>,</w:t>
      </w:r>
      <w:r w:rsidR="009A6295">
        <w:rPr>
          <w:rFonts w:ascii="Arial" w:hAnsi="Arial" w:cs="Arial"/>
        </w:rPr>
        <w:t xml:space="preserve"> the </w:t>
      </w:r>
      <w:r w:rsidR="009A6295">
        <w:rPr>
          <w:rFonts w:ascii="Arial" w:hAnsi="Arial" w:cs="Arial"/>
          <w:i/>
        </w:rPr>
        <w:t>a priori</w:t>
      </w:r>
      <w:r w:rsidR="009A6295">
        <w:rPr>
          <w:rFonts w:ascii="Arial" w:hAnsi="Arial" w:cs="Arial"/>
        </w:rPr>
        <w:t xml:space="preserve"> scientific knowledge </w:t>
      </w:r>
      <w:r w:rsidR="00E82B7D">
        <w:rPr>
          <w:rFonts w:ascii="Arial" w:hAnsi="Arial" w:cs="Arial"/>
        </w:rPr>
        <w:t>is used to generate</w:t>
      </w:r>
      <w:r w:rsidR="009A6295">
        <w:rPr>
          <w:rFonts w:ascii="Arial" w:hAnsi="Arial" w:cs="Arial"/>
        </w:rPr>
        <w:t xml:space="preserve"> prior probability distributions that influence GGM model selection, so that posterior inference probabilistically combines empirical data and prior scientific knowledge to yield an updated model of the probabilistic interactions between metabolites.</w:t>
      </w:r>
      <w:r w:rsidR="00652610">
        <w:rPr>
          <w:rFonts w:ascii="Arial" w:hAnsi="Arial" w:cs="Arial"/>
        </w:rPr>
        <w:t xml:space="preserve"> </w:t>
      </w:r>
      <w:r w:rsidR="003E22D7">
        <w:rPr>
          <w:rFonts w:ascii="Arial" w:hAnsi="Arial" w:cs="Arial"/>
        </w:rPr>
        <w:t>In the present work</w:t>
      </w:r>
      <w:r w:rsidR="00AE6731">
        <w:rPr>
          <w:rFonts w:ascii="Arial" w:hAnsi="Arial" w:cs="Arial"/>
        </w:rPr>
        <w:t>,</w:t>
      </w:r>
      <w:r w:rsidR="003E22D7">
        <w:rPr>
          <w:rFonts w:ascii="Arial" w:hAnsi="Arial" w:cs="Arial"/>
        </w:rPr>
        <w:t xml:space="preserve"> we introduce a method</w:t>
      </w:r>
      <w:r w:rsidR="001225F6">
        <w:rPr>
          <w:rFonts w:ascii="Arial" w:hAnsi="Arial" w:cs="Arial"/>
        </w:rPr>
        <w:t xml:space="preserve">ology for using 2D molecular structure </w:t>
      </w:r>
      <w:r w:rsidR="00966957">
        <w:rPr>
          <w:rFonts w:ascii="Arial" w:hAnsi="Arial" w:cs="Arial"/>
        </w:rPr>
        <w:t>similarity to generate prior distributions</w:t>
      </w:r>
      <w:r w:rsidR="00345459">
        <w:rPr>
          <w:rFonts w:ascii="Arial" w:hAnsi="Arial" w:cs="Arial"/>
        </w:rPr>
        <w:t xml:space="preserve"> that</w:t>
      </w:r>
      <w:r w:rsidR="00966957">
        <w:rPr>
          <w:rFonts w:ascii="Arial" w:hAnsi="Arial" w:cs="Arial"/>
        </w:rPr>
        <w:t xml:space="preserve"> </w:t>
      </w:r>
      <w:r w:rsidR="00345459">
        <w:rPr>
          <w:rFonts w:ascii="Arial" w:hAnsi="Arial" w:cs="Arial"/>
        </w:rPr>
        <w:t>control the</w:t>
      </w:r>
      <w:r w:rsidR="00966957">
        <w:rPr>
          <w:rFonts w:ascii="Arial" w:hAnsi="Arial" w:cs="Arial"/>
        </w:rPr>
        <w:t xml:space="preserve"> </w:t>
      </w:r>
      <w:r w:rsidR="00345459">
        <w:rPr>
          <w:rFonts w:ascii="Arial" w:hAnsi="Arial" w:cs="Arial"/>
        </w:rPr>
        <w:t>degree of penalization in parameter estimation for learning a GGM metabolite interactome</w:t>
      </w:r>
      <w:r w:rsidR="00A4465A">
        <w:rPr>
          <w:rFonts w:ascii="Arial" w:hAnsi="Arial" w:cs="Arial"/>
        </w:rPr>
        <w:t xml:space="preserve"> from metabolomics data. </w:t>
      </w:r>
      <w:r w:rsidR="00163C96">
        <w:rPr>
          <w:rFonts w:ascii="Arial" w:hAnsi="Arial" w:cs="Arial"/>
        </w:rPr>
        <w:t xml:space="preserve">We evaluate the methodology using simulation studies that follow two different </w:t>
      </w:r>
      <w:proofErr w:type="gramStart"/>
      <w:r w:rsidR="00163C96">
        <w:rPr>
          <w:rFonts w:ascii="Arial" w:hAnsi="Arial" w:cs="Arial"/>
        </w:rPr>
        <w:t>schema</w:t>
      </w:r>
      <w:proofErr w:type="gramEnd"/>
      <w:r w:rsidR="00163C96">
        <w:rPr>
          <w:rFonts w:ascii="Arial" w:hAnsi="Arial" w:cs="Arial"/>
        </w:rPr>
        <w:t xml:space="preserve">. </w:t>
      </w:r>
      <w:r w:rsidR="00163C96" w:rsidRPr="00163C96">
        <w:rPr>
          <w:rFonts w:ascii="Arial" w:hAnsi="Arial" w:cs="Arial"/>
        </w:rPr>
        <w:t xml:space="preserve">Under the first schema, </w:t>
      </w:r>
      <w:r w:rsidR="00163C96">
        <w:rPr>
          <w:rFonts w:ascii="Arial" w:hAnsi="Arial" w:cs="Arial"/>
        </w:rPr>
        <w:t>autoregressive processes were</w:t>
      </w:r>
      <w:r w:rsidR="00163C96" w:rsidRPr="00163C96">
        <w:rPr>
          <w:rFonts w:ascii="Arial" w:hAnsi="Arial" w:cs="Arial"/>
        </w:rPr>
        <w:t xml:space="preserve"> simulated for representing linear biological process</w:t>
      </w:r>
      <w:r w:rsidR="00163C96">
        <w:rPr>
          <w:rFonts w:ascii="Arial" w:hAnsi="Arial" w:cs="Arial"/>
        </w:rPr>
        <w:t>es</w:t>
      </w:r>
      <w:r w:rsidR="00163C96" w:rsidRPr="00163C96">
        <w:rPr>
          <w:rFonts w:ascii="Arial" w:hAnsi="Arial" w:cs="Arial"/>
        </w:rPr>
        <w:t xml:space="preserve"> in which the correlation between simulated metabolites decreased in tandem with decreasing structural similarity. Under the second schema, metabolomics data collected previously was utilized with simulated metabolites “spiked-in”. The spiked-in simulated metabolites were simulated via a hierarchical model in which structural similarity was simulated first, followed by abundance distributions in which the correlation between abundances increased with structural similarity.</w:t>
      </w:r>
      <w:r w:rsidR="00163C96">
        <w:rPr>
          <w:rFonts w:ascii="Arial" w:hAnsi="Arial" w:cs="Arial"/>
        </w:rPr>
        <w:t xml:space="preserve"> </w:t>
      </w:r>
      <w:r w:rsidR="00997289">
        <w:rPr>
          <w:rFonts w:ascii="Arial" w:hAnsi="Arial" w:cs="Arial"/>
        </w:rPr>
        <w:t xml:space="preserve">Given both schema, we evaluated the ability of the proposed method to recover the true pairwise conditional correlations structures that were specified in advance.  </w:t>
      </w:r>
    </w:p>
    <w:p w:rsidR="00656740" w:rsidRDefault="00656740" w:rsidP="00095E00">
      <w:pPr>
        <w:pStyle w:val="ListParagraph"/>
        <w:numPr>
          <w:ilvl w:val="0"/>
          <w:numId w:val="3"/>
        </w:numPr>
        <w:jc w:val="both"/>
        <w:rPr>
          <w:rFonts w:ascii="Arial" w:hAnsi="Arial" w:cs="Arial"/>
        </w:rPr>
      </w:pPr>
      <w:r>
        <w:rPr>
          <w:rFonts w:ascii="Arial" w:hAnsi="Arial" w:cs="Arial"/>
        </w:rPr>
        <w:t>Methods</w:t>
      </w:r>
    </w:p>
    <w:p w:rsidR="00035F5F" w:rsidRDefault="00035F5F" w:rsidP="00095E00">
      <w:pPr>
        <w:pStyle w:val="ListParagraph"/>
        <w:ind w:left="360"/>
        <w:jc w:val="both"/>
        <w:rPr>
          <w:rFonts w:ascii="Arial" w:hAnsi="Arial" w:cs="Arial"/>
        </w:rPr>
      </w:pPr>
    </w:p>
    <w:p w:rsidR="00656740" w:rsidRDefault="00656740" w:rsidP="00095E00">
      <w:pPr>
        <w:pStyle w:val="ListParagraph"/>
        <w:numPr>
          <w:ilvl w:val="1"/>
          <w:numId w:val="3"/>
        </w:numPr>
        <w:jc w:val="both"/>
        <w:rPr>
          <w:rFonts w:ascii="Arial" w:hAnsi="Arial" w:cs="Arial"/>
        </w:rPr>
      </w:pPr>
      <w:r>
        <w:rPr>
          <w:rFonts w:ascii="Arial" w:hAnsi="Arial" w:cs="Arial"/>
        </w:rPr>
        <w:t>Gaussian Graphical Models (GGM)</w:t>
      </w:r>
    </w:p>
    <w:p w:rsidR="00035F5F" w:rsidRPr="00035F5F" w:rsidRDefault="008C4682" w:rsidP="00095E00">
      <w:pPr>
        <w:jc w:val="both"/>
        <w:rPr>
          <w:rFonts w:ascii="Arial" w:hAnsi="Arial" w:cs="Arial"/>
        </w:rPr>
      </w:pPr>
      <w:r>
        <w:rPr>
          <w:rFonts w:ascii="Arial" w:hAnsi="Arial" w:cs="Arial"/>
        </w:rPr>
        <w:t xml:space="preserve">We consider Markov Random Fields (MRFs) which are graphical models in which random variables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∈V</m:t>
        </m:r>
        <m:r>
          <w:rPr>
            <w:rFonts w:ascii="Cambria Math" w:eastAsiaTheme="minorEastAsia" w:hAnsi="Cambria Math" w:cs="Arial"/>
          </w:rPr>
          <m:t>, i=1, 2, …, p</m:t>
        </m:r>
      </m:oMath>
      <w:r>
        <w:rPr>
          <w:rFonts w:ascii="Arial" w:eastAsiaTheme="minorEastAsia" w:hAnsi="Arial" w:cs="Arial"/>
        </w:rPr>
        <w:t xml:space="preserve"> are represented as vertices and edges in the edge set </w:t>
      </w:r>
      <m:oMath>
        <m:r>
          <w:rPr>
            <w:rFonts w:ascii="Cambria Math" w:eastAsiaTheme="minorEastAsia" w:hAnsi="Cambria Math" w:cs="Arial"/>
          </w:rPr>
          <m:t>E⊆V×V</m:t>
        </m:r>
      </m:oMath>
      <w:r>
        <w:rPr>
          <w:rFonts w:ascii="Arial" w:eastAsiaTheme="minorEastAsia" w:hAnsi="Arial" w:cs="Arial"/>
        </w:rPr>
        <w:t xml:space="preserve"> represent probabilistic </w:t>
      </w:r>
      <w:r>
        <w:rPr>
          <w:rFonts w:ascii="Arial" w:eastAsiaTheme="minorEastAsia" w:hAnsi="Arial" w:cs="Arial"/>
        </w:rPr>
        <w:lastRenderedPageBreak/>
        <w:t xml:space="preserve">interactions. </w:t>
      </w:r>
      <w:r w:rsidR="00BB368F">
        <w:rPr>
          <w:rFonts w:ascii="Arial" w:hAnsi="Arial" w:cs="Arial"/>
        </w:rPr>
        <w:t>Gaussian Graphical Models</w:t>
      </w:r>
      <w:r w:rsidR="00A975E3">
        <w:rPr>
          <w:rFonts w:ascii="Arial" w:hAnsi="Arial" w:cs="Arial"/>
        </w:rPr>
        <w:t xml:space="preserve"> (GGMs)</w:t>
      </w:r>
      <w:r w:rsidR="00BB368F">
        <w:rPr>
          <w:rFonts w:ascii="Arial" w:hAnsi="Arial" w:cs="Arial"/>
        </w:rPr>
        <w:t xml:space="preserve"> </w:t>
      </w:r>
      <w:r w:rsidR="00115EED">
        <w:rPr>
          <w:rFonts w:ascii="Arial" w:hAnsi="Arial" w:cs="Arial"/>
        </w:rPr>
        <w:t>represent</w:t>
      </w:r>
      <w:r w:rsidR="00BB368F">
        <w:rPr>
          <w:rFonts w:ascii="Arial" w:hAnsi="Arial" w:cs="Arial"/>
        </w:rPr>
        <w:t xml:space="preserve"> a special </w:t>
      </w:r>
      <w:r w:rsidR="00115EED">
        <w:rPr>
          <w:rFonts w:ascii="Arial" w:hAnsi="Arial" w:cs="Arial"/>
        </w:rPr>
        <w:t>class</w:t>
      </w:r>
      <w:r w:rsidR="00BB368F">
        <w:rPr>
          <w:rFonts w:ascii="Arial" w:hAnsi="Arial" w:cs="Arial"/>
        </w:rPr>
        <w:t xml:space="preserve"> of </w:t>
      </w:r>
      <w:r w:rsidR="00A975E3">
        <w:rPr>
          <w:rFonts w:ascii="Arial" w:hAnsi="Arial" w:cs="Arial"/>
        </w:rPr>
        <w:t>MRFs</w:t>
      </w:r>
      <w:r w:rsidR="00BB368F">
        <w:rPr>
          <w:rFonts w:ascii="Arial" w:hAnsi="Arial" w:cs="Arial"/>
        </w:rPr>
        <w:t xml:space="preserve"> </w:t>
      </w:r>
      <w:r w:rsidR="009E1E95">
        <w:rPr>
          <w:rFonts w:ascii="Arial" w:hAnsi="Arial" w:cs="Arial"/>
        </w:rPr>
        <w:t xml:space="preserve">in which the </w:t>
      </w:r>
      <w:r w:rsidR="00115EED">
        <w:rPr>
          <w:rFonts w:ascii="Arial" w:hAnsi="Arial" w:cs="Arial"/>
        </w:rPr>
        <w:t xml:space="preserve">underlying joint probability distribution represented by the </w:t>
      </w:r>
      <w:r w:rsidR="009E1E95">
        <w:rPr>
          <w:rFonts w:ascii="Arial" w:hAnsi="Arial" w:cs="Arial"/>
        </w:rPr>
        <w:t>graph is</w:t>
      </w:r>
      <w:r w:rsidR="00115EED">
        <w:rPr>
          <w:rFonts w:ascii="Arial" w:hAnsi="Arial" w:cs="Arial"/>
        </w:rPr>
        <w:t xml:space="preserve"> assumed to be multivariate Gaussian</w:t>
      </w:r>
      <w:r w:rsidR="005063A5">
        <w:rPr>
          <w:rFonts w:ascii="Arial" w:hAnsi="Arial" w:cs="Arial"/>
        </w:rPr>
        <w:t xml:space="preserve"> </w:t>
      </w:r>
      <w:r w:rsidR="005063A5">
        <w:rPr>
          <w:rFonts w:ascii="Arial" w:hAnsi="Arial" w:cs="Arial"/>
        </w:rPr>
        <w:fldChar w:fldCharType="begin"/>
      </w:r>
      <w:r w:rsidR="00447A94">
        <w:rPr>
          <w:rFonts w:ascii="Arial" w:hAnsi="Arial" w:cs="Arial"/>
        </w:rPr>
        <w:instrText xml:space="preserve"> ADDIN EN.CITE &lt;EndNote&gt;&lt;Cite&gt;&lt;Author&gt;Koller&lt;/Author&gt;&lt;Year&gt;2009&lt;/Year&gt;&lt;RecNum&gt;682&lt;/RecNum&gt;&lt;DisplayText&gt;(Koller &amp;amp; Friedman, 2009)&lt;/DisplayText&gt;&lt;record&gt;&lt;rec-number&gt;682&lt;/rec-number&gt;&lt;foreign-keys&gt;&lt;key app="EN" db-id="x2922pa5k2dxthexst355fze9fs9ssfv9txp" timestamp="0"&gt;682&lt;/key&gt;&lt;/foreign-keys&gt;&lt;ref-type name="Book"&gt;6&lt;/ref-type&gt;&lt;contributors&gt;&lt;authors&gt;&lt;author&gt;Koller, Daphne&lt;/author&gt;&lt;author&gt;Friedman, Nir&lt;/author&gt;&lt;/authors&gt;&lt;/contributors&gt;&lt;titles&gt;&lt;title&gt;Probabilistic graphical models : principles and techniques&lt;/title&gt;&lt;secondary-title&gt;Adaptive computation and machine learning&lt;/secondary-title&gt;&lt;/titles&gt;&lt;pages&gt;xxi, 1231 p.&lt;/pages&gt;&lt;keywords&gt;&lt;keyword&gt;Graphical modeling (Statistics)&lt;/keyword&gt;&lt;keyword&gt;Bayesian statistical decision theory Graphic methods.&lt;/keyword&gt;&lt;/keywords&gt;&lt;dates&gt;&lt;year&gt;2009&lt;/year&gt;&lt;/dates&gt;&lt;pub-location&gt;Cambridge, MA&lt;/pub-location&gt;&lt;publisher&gt;MIT Press&lt;/publisher&gt;&lt;isbn&gt;9780262013192 (hardcover alk. paper)&lt;/isbn&gt;&lt;accession-num&gt;15640743&lt;/accession-num&gt;&lt;call-num&gt;QA279.5 .K65 2009&lt;/call-num&gt;&lt;urls&gt;&lt;/urls&gt;&lt;/record&gt;&lt;/Cite&gt;&lt;/EndNote&gt;</w:instrText>
      </w:r>
      <w:r w:rsidR="005063A5">
        <w:rPr>
          <w:rFonts w:ascii="Arial" w:hAnsi="Arial" w:cs="Arial"/>
        </w:rPr>
        <w:fldChar w:fldCharType="separate"/>
      </w:r>
      <w:r w:rsidR="00447A94">
        <w:rPr>
          <w:rFonts w:ascii="Arial" w:hAnsi="Arial" w:cs="Arial"/>
          <w:noProof/>
        </w:rPr>
        <w:t>(Koller &amp; Friedman, 2009)</w:t>
      </w:r>
      <w:r w:rsidR="005063A5">
        <w:rPr>
          <w:rFonts w:ascii="Arial" w:hAnsi="Arial" w:cs="Arial"/>
        </w:rPr>
        <w:fldChar w:fldCharType="end"/>
      </w:r>
      <w:r w:rsidR="005063A5">
        <w:rPr>
          <w:rFonts w:ascii="Arial" w:hAnsi="Arial" w:cs="Arial"/>
        </w:rPr>
        <w:t>.</w:t>
      </w:r>
      <w:r w:rsidR="00A975E3">
        <w:rPr>
          <w:rFonts w:ascii="Arial" w:hAnsi="Arial" w:cs="Arial"/>
        </w:rPr>
        <w:t xml:space="preserve"> In addition to the joint distribution being multivariate Gaussian, the marginal distribution for each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00A975E3">
        <w:rPr>
          <w:rFonts w:ascii="Arial" w:eastAsiaTheme="minorEastAsia" w:hAnsi="Arial" w:cs="Arial"/>
        </w:rPr>
        <w:t xml:space="preserve"> is Gaussian, as are the conditional distributions for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A975E3">
        <w:rPr>
          <w:rFonts w:ascii="Arial" w:eastAsiaTheme="minorEastAsia" w:hAnsi="Arial" w:cs="Arial"/>
        </w:rPr>
        <w:t>.</w:t>
      </w:r>
      <w:r w:rsidR="007F6640">
        <w:rPr>
          <w:rFonts w:ascii="Arial" w:eastAsiaTheme="minorEastAsia" w:hAnsi="Arial" w:cs="Arial"/>
        </w:rPr>
        <w:t xml:space="preserve"> Given a multivariate Gaussian distribution </w:t>
      </w:r>
      <m:oMath>
        <m:r>
          <m:rPr>
            <m:scr m:val="script"/>
            <m:sty m:val="bi"/>
          </m:rPr>
          <w:rPr>
            <w:rFonts w:ascii="Cambria Math" w:eastAsiaTheme="minorEastAsia" w:hAnsi="Cambria Math" w:cs="Arial"/>
          </w:rPr>
          <m:t>N</m:t>
        </m:r>
        <m:r>
          <w:rPr>
            <w:rFonts w:ascii="Cambria Math" w:eastAsiaTheme="minorEastAsia" w:hAnsi="Cambria Math" w:cs="Arial"/>
          </w:rPr>
          <m:t>(</m:t>
        </m:r>
        <m:r>
          <m:rPr>
            <m:sty m:val="b"/>
          </m:rPr>
          <w:rPr>
            <w:rFonts w:ascii="Cambria Math" w:eastAsiaTheme="minorEastAsia" w:hAnsi="Cambria Math" w:cs="Arial"/>
          </w:rPr>
          <m:t>μ</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Ω</m:t>
            </m:r>
          </m:e>
          <m:sup>
            <m:r>
              <w:rPr>
                <w:rFonts w:ascii="Cambria Math" w:eastAsiaTheme="minorEastAsia" w:hAnsi="Cambria Math" w:cs="Arial"/>
              </w:rPr>
              <m:t>-1</m:t>
            </m:r>
          </m:sup>
        </m:sSup>
        <m:r>
          <w:rPr>
            <w:rFonts w:ascii="Cambria Math" w:eastAsiaTheme="minorEastAsia" w:hAnsi="Cambria Math" w:cs="Arial"/>
          </w:rPr>
          <m:t>)</m:t>
        </m:r>
      </m:oMath>
      <w:r w:rsidR="00DD0923">
        <w:rPr>
          <w:rFonts w:ascii="Arial" w:eastAsiaTheme="minorEastAsia" w:hAnsi="Arial" w:cs="Arial"/>
        </w:rPr>
        <w:t xml:space="preserve">, </w:t>
      </w:r>
      <w:r w:rsidR="00531F7D">
        <w:rPr>
          <w:rFonts w:ascii="Arial" w:eastAsiaTheme="minorEastAsia" w:hAnsi="Arial" w:cs="Arial"/>
        </w:rPr>
        <w:t xml:space="preserve">where </w:t>
      </w:r>
      <m:oMath>
        <m:r>
          <m:rPr>
            <m:sty m:val="b"/>
          </m:rPr>
          <w:rPr>
            <w:rFonts w:ascii="Cambria Math" w:eastAsiaTheme="minorEastAsia" w:hAnsi="Cambria Math" w:cs="Arial"/>
          </w:rPr>
          <m:t>μ</m:t>
        </m:r>
      </m:oMath>
      <w:r w:rsidR="00531F7D">
        <w:rPr>
          <w:rFonts w:ascii="Arial" w:eastAsiaTheme="minorEastAsia" w:hAnsi="Arial" w:cs="Arial"/>
        </w:rPr>
        <w:t xml:space="preserve"> is a vector of means and </w:t>
      </w:r>
      <m:oMath>
        <m:r>
          <m:rPr>
            <m:sty m:val="b"/>
          </m:rPr>
          <w:rPr>
            <w:rFonts w:ascii="Cambria Math" w:eastAsiaTheme="minorEastAsia" w:hAnsi="Cambria Math" w:cs="Arial"/>
          </w:rPr>
          <m:t>Ω</m:t>
        </m:r>
      </m:oMath>
      <w:r w:rsidR="00531F7D">
        <w:rPr>
          <w:rFonts w:ascii="Arial" w:eastAsiaTheme="minorEastAsia" w:hAnsi="Arial" w:cs="Arial"/>
        </w:rPr>
        <w:t xml:space="preserve"> is the inverse of the covariance matrix </w:t>
      </w:r>
      <m:oMath>
        <m:r>
          <m:rPr>
            <m:sty m:val="b"/>
          </m:rPr>
          <w:rPr>
            <w:rFonts w:ascii="Cambria Math" w:eastAsiaTheme="minorEastAsia" w:hAnsi="Cambria Math" w:cs="Arial"/>
          </w:rPr>
          <m:t>Σ</m:t>
        </m:r>
      </m:oMath>
      <w:r w:rsidR="00531F7D">
        <w:rPr>
          <w:rFonts w:ascii="Arial" w:eastAsiaTheme="minorEastAsia" w:hAnsi="Arial" w:cs="Arial"/>
        </w:rPr>
        <w:t xml:space="preserve">, </w:t>
      </w:r>
      <w:r w:rsidR="00DD0923">
        <w:rPr>
          <w:rFonts w:ascii="Arial" w:eastAsiaTheme="minorEastAsia" w:hAnsi="Arial" w:cs="Arial"/>
        </w:rPr>
        <w:t xml:space="preserve">the entries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DD0923">
        <w:rPr>
          <w:rFonts w:ascii="Arial" w:eastAsiaTheme="minorEastAsia" w:hAnsi="Arial" w:cs="Arial"/>
        </w:rPr>
        <w:t xml:space="preserve"> of the concentration </w:t>
      </w:r>
      <w:r w:rsidR="00531F7D">
        <w:rPr>
          <w:rFonts w:ascii="Arial" w:eastAsiaTheme="minorEastAsia" w:hAnsi="Arial" w:cs="Arial"/>
        </w:rPr>
        <w:t>matrix are of particular importance</w:t>
      </w:r>
      <w:r w:rsidR="00DD0923">
        <w:rPr>
          <w:rFonts w:ascii="Arial" w:eastAsiaTheme="minorEastAsia" w:hAnsi="Arial" w:cs="Arial"/>
        </w:rPr>
        <w:t xml:space="preserve"> as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=0</m:t>
        </m:r>
      </m:oMath>
      <w:r w:rsidR="00DD0923">
        <w:rPr>
          <w:rFonts w:ascii="Arial" w:eastAsiaTheme="minorEastAsia" w:hAnsi="Arial" w:cs="Arial"/>
        </w:rPr>
        <w:t xml:space="preserve"> implies that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 xml:space="preserve"> are conditionally independent and with respect to the graph topology, there does not exist an edge between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w:t>
      </w:r>
      <w:r w:rsidR="006A7ACD">
        <w:rPr>
          <w:rFonts w:ascii="Arial" w:eastAsiaTheme="minorEastAsia" w:hAnsi="Arial" w:cs="Arial"/>
        </w:rPr>
        <w:t xml:space="preserve"> Further from the entries of </w:t>
      </w:r>
      <m:oMath>
        <m:r>
          <m:rPr>
            <m:sty m:val="b"/>
          </m:rPr>
          <w:rPr>
            <w:rFonts w:ascii="Cambria Math" w:eastAsiaTheme="minorEastAsia" w:hAnsi="Cambria Math" w:cs="Arial"/>
          </w:rPr>
          <m:t>Ω</m:t>
        </m:r>
      </m:oMath>
      <w:r w:rsidR="000B66E4">
        <w:rPr>
          <w:rFonts w:ascii="Arial" w:eastAsiaTheme="minorEastAsia" w:hAnsi="Arial" w:cs="Arial"/>
        </w:rPr>
        <w:t xml:space="preserve">, the partial correlation coefficient between two random variables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341121">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341121">
        <w:rPr>
          <w:rFonts w:ascii="Arial" w:eastAsiaTheme="minorEastAsia" w:hAnsi="Arial" w:cs="Arial"/>
        </w:rPr>
        <w:t xml:space="preserve"> </w:t>
      </w:r>
      <w:r w:rsidR="000B66E4">
        <w:rPr>
          <w:rFonts w:ascii="Arial" w:eastAsiaTheme="minorEastAsia" w:hAnsi="Arial" w:cs="Arial"/>
        </w:rPr>
        <w:t xml:space="preserve">can be computed as: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jj</m:t>
                </m:r>
              </m:sub>
            </m:sSub>
          </m:e>
        </m:rad>
      </m:oMath>
      <w:r w:rsidR="000B66E4">
        <w:rPr>
          <w:rFonts w:ascii="Arial" w:eastAsiaTheme="minorEastAsia" w:hAnsi="Arial" w:cs="Arial"/>
        </w:rPr>
        <w:t>.</w:t>
      </w:r>
    </w:p>
    <w:p w:rsidR="00D754AA" w:rsidRDefault="00656740" w:rsidP="00095E00">
      <w:pPr>
        <w:pStyle w:val="ListParagraph"/>
        <w:numPr>
          <w:ilvl w:val="1"/>
          <w:numId w:val="3"/>
        </w:numPr>
        <w:rPr>
          <w:rFonts w:ascii="Arial" w:hAnsi="Arial" w:cs="Arial"/>
        </w:rPr>
      </w:pPr>
      <w:r>
        <w:rPr>
          <w:rFonts w:ascii="Arial" w:hAnsi="Arial" w:cs="Arial"/>
        </w:rPr>
        <w:t>GGM parameter estimation</w:t>
      </w:r>
    </w:p>
    <w:p w:rsidR="00DF5881" w:rsidRDefault="00E15AE7" w:rsidP="00095E00">
      <w:pPr>
        <w:rPr>
          <w:rFonts w:ascii="Arial" w:eastAsiaTheme="minorEastAsia" w:hAnsi="Arial" w:cs="Arial"/>
        </w:rPr>
      </w:pPr>
      <w:r>
        <w:rPr>
          <w:rFonts w:ascii="Arial" w:hAnsi="Arial" w:cs="Arial"/>
        </w:rPr>
        <w:t>It has been shown previously that</w:t>
      </w:r>
      <w:r w:rsidR="00F62A52">
        <w:rPr>
          <w:rFonts w:ascii="Arial" w:hAnsi="Arial" w:cs="Arial"/>
        </w:rPr>
        <w:t xml:space="preserve"> if </w:t>
      </w:r>
      <m:oMath>
        <m:r>
          <w:rPr>
            <w:rFonts w:ascii="Cambria Math" w:hAnsi="Cambria Math" w:cs="Arial"/>
          </w:rPr>
          <m:t>n&lt;q</m:t>
        </m:r>
      </m:oMath>
      <w:r>
        <w:rPr>
          <w:rFonts w:ascii="Arial" w:hAnsi="Arial" w:cs="Arial"/>
        </w:rPr>
        <w:t xml:space="preserve"> where </w:t>
      </w:r>
      <m:oMath>
        <m:r>
          <w:rPr>
            <w:rFonts w:ascii="Cambria Math" w:hAnsi="Cambria Math" w:cs="Arial"/>
          </w:rPr>
          <m:t>q</m:t>
        </m:r>
      </m:oMath>
      <w:r>
        <w:rPr>
          <w:rFonts w:ascii="Arial" w:eastAsiaTheme="minorEastAsia" w:hAnsi="Arial" w:cs="Arial"/>
        </w:rPr>
        <w:t xml:space="preserve"> represents the maximal clique size of the </w:t>
      </w:r>
      <w:r w:rsidR="00F62A52">
        <w:rPr>
          <w:rFonts w:ascii="Arial" w:eastAsiaTheme="minorEastAsia" w:hAnsi="Arial" w:cs="Arial"/>
        </w:rPr>
        <w:t>GGM then a maximum lik</w:t>
      </w:r>
      <w:r w:rsidR="00B03399">
        <w:rPr>
          <w:rFonts w:ascii="Arial" w:eastAsiaTheme="minorEastAsia" w:hAnsi="Arial" w:cs="Arial"/>
        </w:rPr>
        <w:t>elihood estimator does not exist</w:t>
      </w:r>
      <w:r w:rsidR="009640F7">
        <w:rPr>
          <w:rFonts w:ascii="Arial" w:eastAsiaTheme="minorEastAsia" w:hAnsi="Arial" w:cs="Arial"/>
        </w:rPr>
        <w:t xml:space="preserve"> </w:t>
      </w:r>
      <w:r w:rsidR="008A4792">
        <w:rPr>
          <w:rFonts w:ascii="Arial" w:eastAsiaTheme="minorEastAsia" w:hAnsi="Arial" w:cs="Arial"/>
        </w:rPr>
        <w:fldChar w:fldCharType="begin"/>
      </w:r>
      <w:r w:rsidR="00447A94">
        <w:rPr>
          <w:rFonts w:ascii="Arial" w:eastAsiaTheme="minorEastAsia" w:hAnsi="Arial" w:cs="Arial"/>
        </w:rPr>
        <w:instrText xml:space="preserve"> ADDIN EN.CITE &lt;EndNote&gt;&lt;Cite&gt;&lt;Author&gt;Buhl&lt;/Author&gt;&lt;Year&gt;1993&lt;/Year&gt;&lt;RecNum&gt;1057&lt;/RecNum&gt;&lt;DisplayText&gt;(Buhl, 1993)&lt;/DisplayText&gt;&lt;record&gt;&lt;rec-number&gt;1057&lt;/rec-number&gt;&lt;foreign-keys&gt;&lt;key app="EN" db-id="x2922pa5k2dxthexst355fze9fs9ssfv9txp" timestamp="1509929163"&gt;1057&lt;/key&gt;&lt;/foreign-keys&gt;&lt;ref-type name="Journal Article"&gt;17&lt;/ref-type&gt;&lt;contributors&gt;&lt;authors&gt;&lt;author&gt;Buhl, Soren L.&lt;/author&gt;&lt;/authors&gt;&lt;/contributors&gt;&lt;titles&gt;&lt;title&gt;On the Existence of Maximum Likelihood Estimators for Graphical Gaussian Models&lt;/title&gt;&lt;secondary-title&gt;Scandinavian Journal of Statistics&lt;/secondary-title&gt;&lt;/titles&gt;&lt;periodical&gt;&lt;full-title&gt;Scandinavian Journal of Statistics&lt;/full-title&gt;&lt;/periodical&gt;&lt;pages&gt;263-270&lt;/pages&gt;&lt;volume&gt;20&lt;/volume&gt;&lt;number&gt;3&lt;/number&gt;&lt;dates&gt;&lt;year&gt;1993&lt;/year&gt;&lt;/dates&gt;&lt;publisher&gt;[Board of the Foundation of the Scandinavian Journal of Statistics, Wiley]&lt;/publisher&gt;&lt;isbn&gt;03036898, 14679469&lt;/isbn&gt;&lt;urls&gt;&lt;related-urls&gt;&lt;url&gt;http://www.jstor.org/stable/4616281&lt;/url&gt;&lt;/related-urls&gt;&lt;/urls&gt;&lt;custom1&gt;Full publication date: 1993&lt;/custom1&gt;&lt;/record&gt;&lt;/Cite&gt;&lt;/EndNote&gt;</w:instrText>
      </w:r>
      <w:r w:rsidR="008A4792">
        <w:rPr>
          <w:rFonts w:ascii="Arial" w:eastAsiaTheme="minorEastAsia" w:hAnsi="Arial" w:cs="Arial"/>
        </w:rPr>
        <w:fldChar w:fldCharType="separate"/>
      </w:r>
      <w:r w:rsidR="00447A94">
        <w:rPr>
          <w:rFonts w:ascii="Arial" w:eastAsiaTheme="minorEastAsia" w:hAnsi="Arial" w:cs="Arial"/>
          <w:noProof/>
        </w:rPr>
        <w:t>(Buhl, 1993)</w:t>
      </w:r>
      <w:r w:rsidR="008A4792">
        <w:rPr>
          <w:rFonts w:ascii="Arial" w:eastAsiaTheme="minorEastAsia" w:hAnsi="Arial" w:cs="Arial"/>
        </w:rPr>
        <w:fldChar w:fldCharType="end"/>
      </w:r>
      <w:r>
        <w:rPr>
          <w:rFonts w:ascii="Arial" w:eastAsiaTheme="minorEastAsia" w:hAnsi="Arial" w:cs="Arial"/>
        </w:rPr>
        <w:t>.</w:t>
      </w:r>
      <w:r w:rsidR="00531F7D">
        <w:rPr>
          <w:rFonts w:ascii="Arial" w:eastAsiaTheme="minorEastAsia" w:hAnsi="Arial" w:cs="Arial"/>
        </w:rPr>
        <w:t xml:space="preserve"> Noting the likelihood function for the concentration matrix </w:t>
      </w:r>
      <m:oMath>
        <m:r>
          <m:rPr>
            <m:sty m:val="b"/>
          </m:rPr>
          <w:rPr>
            <w:rFonts w:ascii="Cambria Math" w:eastAsiaTheme="minorEastAsia" w:hAnsi="Cambria Math" w:cs="Arial"/>
          </w:rPr>
          <m:t>Ω</m:t>
        </m:r>
      </m:oMath>
      <w:r w:rsidR="00E9715C">
        <w:rPr>
          <w:rFonts w:ascii="Arial" w:eastAsiaTheme="minorEastAsia" w:hAnsi="Arial" w:cs="Arial"/>
        </w:rPr>
        <w:t>:</w:t>
      </w:r>
    </w:p>
    <w:p w:rsidR="00B07801" w:rsidRPr="00DF5881" w:rsidRDefault="00B07801" w:rsidP="00095E00">
      <w:pPr>
        <w:rPr>
          <w:rFonts w:ascii="Arial" w:eastAsiaTheme="minorEastAsia" w:hAnsi="Arial" w:cs="Arial"/>
        </w:rPr>
      </w:pP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m:t>
          </m:r>
        </m:oMath>
      </m:oMathPara>
    </w:p>
    <w:p w:rsidR="006A106A" w:rsidRPr="00674412" w:rsidRDefault="006A106A" w:rsidP="00095E00">
      <w:pPr>
        <w:rPr>
          <w:rFonts w:ascii="Arial" w:eastAsiaTheme="minorEastAsia" w:hAnsi="Arial" w:cs="Arial"/>
        </w:rPr>
      </w:pPr>
      <w:r>
        <w:rPr>
          <w:rFonts w:ascii="Arial" w:eastAsiaTheme="minorEastAsia" w:hAnsi="Arial" w:cs="Arial"/>
        </w:rPr>
        <w:t>where</w:t>
      </w:r>
      <w:r w:rsidRPr="00116C5F">
        <w:rPr>
          <w:rFonts w:ascii="Arial" w:eastAsiaTheme="minorEastAsia" w:hAnsi="Arial" w:cs="Arial"/>
          <w:b/>
        </w:rPr>
        <w:t xml:space="preserve"> </w:t>
      </w:r>
      <m:oMath>
        <m:r>
          <m:rPr>
            <m:sty m:val="b"/>
          </m:rPr>
          <w:rPr>
            <w:rFonts w:ascii="Cambria Math" w:eastAsiaTheme="minorEastAsia" w:hAnsi="Cambria Math" w:cs="Arial"/>
          </w:rPr>
          <m:t>S</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X</m:t>
            </m:r>
          </m:e>
          <m:sup>
            <m:r>
              <w:rPr>
                <w:rFonts w:ascii="Cambria Math" w:eastAsiaTheme="minorEastAsia" w:hAnsi="Cambria Math" w:cs="Arial"/>
              </w:rPr>
              <m:t>T</m:t>
            </m:r>
          </m:sup>
        </m:sSup>
        <m:r>
          <m:rPr>
            <m:sty m:val="b"/>
          </m:rPr>
          <w:rPr>
            <w:rFonts w:ascii="Cambria Math" w:eastAsiaTheme="minorEastAsia" w:hAnsi="Cambria Math" w:cs="Arial"/>
          </w:rPr>
          <m:t>X</m:t>
        </m:r>
      </m:oMath>
      <w:r w:rsidR="002A2D27">
        <w:rPr>
          <w:rFonts w:ascii="Arial" w:eastAsiaTheme="minorEastAsia" w:hAnsi="Arial" w:cs="Arial"/>
        </w:rPr>
        <w:t xml:space="preserve"> is the sum of products </w:t>
      </w:r>
      <w:proofErr w:type="gramStart"/>
      <w:r w:rsidR="002A2D27">
        <w:rPr>
          <w:rFonts w:ascii="Arial" w:eastAsiaTheme="minorEastAsia" w:hAnsi="Arial" w:cs="Arial"/>
        </w:rPr>
        <w:t>matrix.</w:t>
      </w:r>
      <w:proofErr w:type="gramEnd"/>
      <w:r w:rsidR="002A2D27">
        <w:rPr>
          <w:rFonts w:ascii="Arial" w:eastAsiaTheme="minorEastAsia" w:hAnsi="Arial" w:cs="Arial"/>
        </w:rPr>
        <w:t xml:space="preserve"> As the log-likelihood function is not guaranteed to be convex, regularization of this likelihood has been proposed</w:t>
      </w:r>
      <w:r w:rsidR="007C3908">
        <w:rPr>
          <w:rFonts w:ascii="Arial" w:eastAsiaTheme="minorEastAsia" w:hAnsi="Arial" w:cs="Arial"/>
        </w:rPr>
        <w:t xml:space="preserve"> </w:t>
      </w:r>
      <w:r w:rsidR="00522727">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 </w:instrText>
      </w:r>
      <w:r w:rsidR="000106D6">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EN.CITE.DATA </w:instrText>
      </w:r>
      <w:r w:rsidR="000106D6">
        <w:rPr>
          <w:rFonts w:ascii="Arial" w:eastAsiaTheme="minorEastAsia" w:hAnsi="Arial" w:cs="Arial"/>
        </w:rPr>
      </w:r>
      <w:r w:rsidR="000106D6">
        <w:rPr>
          <w:rFonts w:ascii="Arial" w:eastAsiaTheme="minorEastAsia" w:hAnsi="Arial" w:cs="Arial"/>
        </w:rPr>
        <w:fldChar w:fldCharType="end"/>
      </w:r>
      <w:r w:rsidR="00522727">
        <w:rPr>
          <w:rFonts w:ascii="Arial" w:eastAsiaTheme="minorEastAsia" w:hAnsi="Arial" w:cs="Arial"/>
        </w:rPr>
      </w:r>
      <w:r w:rsidR="00522727">
        <w:rPr>
          <w:rFonts w:ascii="Arial" w:eastAsiaTheme="minorEastAsia" w:hAnsi="Arial" w:cs="Arial"/>
        </w:rPr>
        <w:fldChar w:fldCharType="separate"/>
      </w:r>
      <w:r w:rsidR="000106D6">
        <w:rPr>
          <w:rFonts w:ascii="Arial" w:eastAsiaTheme="minorEastAsia" w:hAnsi="Arial" w:cs="Arial"/>
          <w:noProof/>
        </w:rPr>
        <w:t>(Banerjee et al., 2008; Friedman et al., 2007; Meinshausen &amp; Bühlmann, 2006)</w:t>
      </w:r>
      <w:r w:rsidR="00522727">
        <w:rPr>
          <w:rFonts w:ascii="Arial" w:eastAsiaTheme="minorEastAsia" w:hAnsi="Arial" w:cs="Arial"/>
        </w:rPr>
        <w:fldChar w:fldCharType="end"/>
      </w:r>
      <w:r w:rsidR="003547B1">
        <w:rPr>
          <w:rFonts w:ascii="Arial" w:eastAsiaTheme="minorEastAsia" w:hAnsi="Arial" w:cs="Arial"/>
        </w:rPr>
        <w:t xml:space="preserve"> as a solution for</w:t>
      </w:r>
      <w:r w:rsidR="002A2D27">
        <w:rPr>
          <w:rFonts w:ascii="Arial" w:eastAsiaTheme="minorEastAsia" w:hAnsi="Arial" w:cs="Arial"/>
        </w:rPr>
        <w:t xml:space="preserve"> estimating </w:t>
      </w:r>
      <m:oMath>
        <m:r>
          <m:rPr>
            <m:sty m:val="b"/>
          </m:rPr>
          <w:rPr>
            <w:rFonts w:ascii="Cambria Math" w:eastAsiaTheme="minorEastAsia" w:hAnsi="Cambria Math" w:cs="Arial"/>
          </w:rPr>
          <m:t>Ω</m:t>
        </m:r>
      </m:oMath>
      <w:r w:rsidR="007C3908">
        <w:rPr>
          <w:rFonts w:ascii="Arial" w:eastAsiaTheme="minorEastAsia" w:hAnsi="Arial" w:cs="Arial"/>
        </w:rPr>
        <w:t xml:space="preserve">. </w:t>
      </w:r>
      <w:r w:rsidR="006377A3">
        <w:rPr>
          <w:rFonts w:ascii="Arial" w:eastAsiaTheme="minorEastAsia" w:hAnsi="Arial" w:cs="Arial"/>
        </w:rPr>
        <w:fldChar w:fldCharType="begin"/>
      </w:r>
      <w:r w:rsidR="006377A3">
        <w:rPr>
          <w:rFonts w:ascii="Arial" w:eastAsiaTheme="minorEastAsia" w:hAnsi="Arial" w:cs="Arial"/>
        </w:rPr>
        <w:instrText xml:space="preserve"> ADDIN EN.CITE &lt;EndNote&gt;&lt;Cite AuthorYear="1"&gt;&lt;Author&gt;Friedman&lt;/Author&gt;&lt;Year&gt;2007&lt;/Year&gt;&lt;RecNum&gt;564&lt;/RecNum&gt;&lt;DisplayText&gt;Friedman et al. (2007)&lt;/DisplayText&gt;&lt;record&gt;&lt;rec-number&gt;564&lt;/rec-number&gt;&lt;foreign-keys&gt;&lt;key app="EN" db-id="x2922pa5k2dxthexst355fze9fs9ssfv9txp" timestamp="0"&gt;564&lt;/key&gt;&lt;/foreign-keys&gt;&lt;ref-type name="Journal Article"&gt;17&lt;/ref-type&gt;&lt;contributors&gt;&lt;authors&gt;&lt;author&gt;Friedman, J.&lt;/author&gt;&lt;author&gt;Hastie, T.&lt;/author&gt;&lt;author&gt;Tibshirani, R.&lt;/author&gt;&lt;/authors&gt;&lt;/contributors&gt;&lt;titles&gt;&lt;title&gt;Sparse inverse covariance estimation with the graphical lasso&lt;/title&gt;&lt;secondary-title&gt;Biostatistics&lt;/secondary-title&gt;&lt;/titles&gt;&lt;periodical&gt;&lt;full-title&gt;Biostatistics&lt;/full-title&gt;&lt;/periodical&gt;&lt;pages&gt;432-441&lt;/pages&gt;&lt;volume&gt;9&lt;/volume&gt;&lt;number&gt;3&lt;/number&gt;&lt;dates&gt;&lt;year&gt;2007&lt;/year&gt;&lt;/dates&gt;&lt;isbn&gt;1465-4644&amp;#xD;1468-4357&lt;/isbn&gt;&lt;urls&gt;&lt;/urls&gt;&lt;electronic-resource-num&gt;10.1093/biostatistics/kxm045&lt;/electronic-resource-num&gt;&lt;/record&gt;&lt;/Cite&gt;&lt;/EndNote&gt;</w:instrText>
      </w:r>
      <w:r w:rsidR="006377A3">
        <w:rPr>
          <w:rFonts w:ascii="Arial" w:eastAsiaTheme="minorEastAsia" w:hAnsi="Arial" w:cs="Arial"/>
        </w:rPr>
        <w:fldChar w:fldCharType="separate"/>
      </w:r>
      <w:r w:rsidR="006377A3">
        <w:rPr>
          <w:rFonts w:ascii="Arial" w:eastAsiaTheme="minorEastAsia" w:hAnsi="Arial" w:cs="Arial"/>
          <w:noProof/>
        </w:rPr>
        <w:t>Friedman et al. (2007)</w:t>
      </w:r>
      <w:r w:rsidR="006377A3">
        <w:rPr>
          <w:rFonts w:ascii="Arial" w:eastAsiaTheme="minorEastAsia" w:hAnsi="Arial" w:cs="Arial"/>
        </w:rPr>
        <w:fldChar w:fldCharType="end"/>
      </w:r>
      <w:r w:rsidR="006377A3">
        <w:rPr>
          <w:rFonts w:ascii="Arial" w:eastAsiaTheme="minorEastAsia" w:hAnsi="Arial" w:cs="Arial"/>
        </w:rPr>
        <w:t xml:space="preserve"> </w:t>
      </w:r>
      <w:r w:rsidR="00674412">
        <w:rPr>
          <w:rFonts w:ascii="Arial" w:eastAsiaTheme="minorEastAsia" w:hAnsi="Arial" w:cs="Arial"/>
        </w:rPr>
        <w:t>proposed a method, known as the graphical Lasso (Least Absolute Shrinkage and Selection O</w:t>
      </w:r>
      <w:r w:rsidR="00674412" w:rsidRPr="00674412">
        <w:rPr>
          <w:rFonts w:ascii="Arial" w:eastAsiaTheme="minorEastAsia" w:hAnsi="Arial" w:cs="Arial"/>
        </w:rPr>
        <w:t>perator</w:t>
      </w:r>
      <w:r w:rsidR="00674412">
        <w:rPr>
          <w:rFonts w:ascii="Arial" w:eastAsiaTheme="minorEastAsia" w:hAnsi="Arial" w:cs="Arial"/>
        </w:rPr>
        <w:t xml:space="preserve">) for finding the maximum of the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520A0A">
        <w:rPr>
          <w:rFonts w:ascii="Arial" w:eastAsiaTheme="minorEastAsia" w:hAnsi="Arial" w:cs="Arial"/>
        </w:rPr>
        <w:t xml:space="preserve"> norm penalized log-likelihood:</w:t>
      </w:r>
      <m:oMath>
        <m:r>
          <m:rPr>
            <m:sty m:val="p"/>
          </m:rPr>
          <w:rPr>
            <w:rFonts w:ascii="Cambria Math" w:eastAsiaTheme="minorEastAsia" w:hAnsi="Cambria Math" w:cs="Arial"/>
          </w:rPr>
          <w:br/>
        </m:r>
      </m:oMath>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-ρ</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m:rPr>
                          <m:sty m:val="b"/>
                        </m:rPr>
                        <w:rPr>
                          <w:rFonts w:ascii="Cambria Math" w:eastAsiaTheme="minorEastAsia" w:hAnsi="Cambria Math" w:cs="Arial"/>
                        </w:rPr>
                        <m:t>Ω</m:t>
                      </m:r>
                    </m:e>
                  </m:d>
                </m:e>
              </m:d>
            </m:e>
            <m:sub>
              <m:r>
                <w:rPr>
                  <w:rFonts w:ascii="Cambria Math" w:eastAsiaTheme="minorEastAsia" w:hAnsi="Cambria Math" w:cs="Arial"/>
                </w:rPr>
                <m:t>1</m:t>
              </m:r>
            </m:sub>
          </m:sSub>
          <m:r>
            <w:rPr>
              <w:rFonts w:ascii="Cambria Math" w:eastAsiaTheme="minorEastAsia" w:hAnsi="Cambria Math" w:cs="Arial"/>
            </w:rPr>
            <m:t>,</m:t>
          </m:r>
        </m:oMath>
      </m:oMathPara>
    </w:p>
    <w:p w:rsidR="00674412" w:rsidRDefault="00674412" w:rsidP="00095E00">
      <w:pPr>
        <w:rPr>
          <w:rFonts w:ascii="Arial" w:eastAsiaTheme="minorEastAsia" w:hAnsi="Arial" w:cs="Arial"/>
        </w:rPr>
      </w:pPr>
      <w:r>
        <w:rPr>
          <w:rFonts w:ascii="Arial" w:eastAsiaTheme="minorEastAsia" w:hAnsi="Arial" w:cs="Arial"/>
        </w:rPr>
        <w:t>via</w:t>
      </w:r>
      <w:r w:rsidR="007E56E5">
        <w:rPr>
          <w:rFonts w:ascii="Arial" w:eastAsiaTheme="minorEastAsia" w:hAnsi="Arial" w:cs="Arial"/>
        </w:rPr>
        <w:t xml:space="preserve"> a coordinate descent algorithm.</w:t>
      </w:r>
    </w:p>
    <w:p w:rsidR="00D5526E" w:rsidRDefault="00DB207E" w:rsidP="00095E00">
      <w:pPr>
        <w:rPr>
          <w:rFonts w:ascii="Arial" w:eastAsiaTheme="minorEastAsia" w:hAnsi="Arial" w:cs="Arial"/>
        </w:rPr>
      </w:pPr>
      <w:r>
        <w:rPr>
          <w:rFonts w:ascii="Arial" w:eastAsiaTheme="minorEastAsia" w:hAnsi="Arial" w:cs="Arial"/>
        </w:rPr>
        <w:t xml:space="preserve">A Bayesian approach has been proposed for the regularized estimation of </w:t>
      </w:r>
      <m:oMath>
        <m:r>
          <m:rPr>
            <m:sty m:val="b"/>
          </m:rPr>
          <w:rPr>
            <w:rFonts w:ascii="Cambria Math" w:eastAsiaTheme="minorEastAsia" w:hAnsi="Cambria Math" w:cs="Arial"/>
          </w:rPr>
          <m:t>Ω</m:t>
        </m:r>
      </m:oMath>
      <w:r>
        <w:rPr>
          <w:rFonts w:ascii="Arial" w:eastAsiaTheme="minorEastAsia" w:hAnsi="Arial" w:cs="Arial"/>
        </w:rPr>
        <w:t xml:space="preserve"> </w:t>
      </w:r>
      <w:r>
        <w:rPr>
          <w:rFonts w:ascii="Arial" w:eastAsiaTheme="minorEastAsia" w:hAnsi="Arial" w:cs="Arial"/>
        </w:rPr>
        <w:fldChar w:fldCharType="begin"/>
      </w:r>
      <w:r>
        <w:rPr>
          <w:rFonts w:ascii="Arial" w:eastAsiaTheme="minorEastAsia" w:hAnsi="Arial" w:cs="Arial"/>
        </w:rPr>
        <w:instrText xml:space="preserve"> ADDIN EN.CITE &lt;EndNote&gt;&lt;Cite&gt;&lt;Author&gt;Wang&lt;/Author&gt;&lt;Year&gt;2012&lt;/Year&gt;&lt;RecNum&gt;566&lt;/RecNum&gt;&lt;DisplayText&gt;(Wang,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Pr>
          <w:rFonts w:ascii="Arial" w:eastAsiaTheme="minorEastAsia" w:hAnsi="Arial" w:cs="Arial"/>
        </w:rPr>
        <w:fldChar w:fldCharType="separate"/>
      </w:r>
      <w:r>
        <w:rPr>
          <w:rFonts w:ascii="Arial" w:eastAsiaTheme="minorEastAsia" w:hAnsi="Arial" w:cs="Arial"/>
          <w:noProof/>
        </w:rPr>
        <w:t>(Wang, 2012)</w:t>
      </w:r>
      <w:r>
        <w:rPr>
          <w:rFonts w:ascii="Arial" w:eastAsiaTheme="minorEastAsia" w:hAnsi="Arial" w:cs="Arial"/>
        </w:rPr>
        <w:fldChar w:fldCharType="end"/>
      </w:r>
      <w:r w:rsidR="00221CD1">
        <w:rPr>
          <w:rFonts w:ascii="Arial" w:eastAsiaTheme="minorEastAsia" w:hAnsi="Arial" w:cs="Arial"/>
        </w:rPr>
        <w:t xml:space="preserve"> that provides a natural structure for integrating </w:t>
      </w:r>
      <w:r w:rsidR="00221CD1">
        <w:rPr>
          <w:rFonts w:ascii="Arial" w:eastAsiaTheme="minorEastAsia" w:hAnsi="Arial" w:cs="Arial"/>
          <w:i/>
        </w:rPr>
        <w:t>a priori</w:t>
      </w:r>
      <w:r w:rsidR="00AE23DD">
        <w:rPr>
          <w:rFonts w:ascii="Arial" w:eastAsiaTheme="minorEastAsia" w:hAnsi="Arial" w:cs="Arial"/>
        </w:rPr>
        <w:t xml:space="preserve"> scientific knowledge and high-throughput molecular biology data such as </w:t>
      </w:r>
      <w:r w:rsidR="001D5760">
        <w:rPr>
          <w:rFonts w:ascii="Arial" w:eastAsiaTheme="minorEastAsia" w:hAnsi="Arial" w:cs="Arial"/>
        </w:rPr>
        <w:t xml:space="preserve">un-targeted </w:t>
      </w:r>
      <w:r w:rsidR="00AE23DD">
        <w:rPr>
          <w:rFonts w:ascii="Arial" w:eastAsiaTheme="minorEastAsia" w:hAnsi="Arial" w:cs="Arial"/>
        </w:rPr>
        <w:t xml:space="preserve">metabolomics data. </w:t>
      </w:r>
      <w:r w:rsidR="000F77F1">
        <w:rPr>
          <w:rFonts w:ascii="Arial" w:eastAsiaTheme="minorEastAsia" w:hAnsi="Arial" w:cs="Arial"/>
        </w:rPr>
        <w:fldChar w:fldCharType="begin"/>
      </w:r>
      <w:r w:rsidR="000F77F1">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0F77F1">
        <w:rPr>
          <w:rFonts w:ascii="Arial" w:eastAsiaTheme="minorEastAsia" w:hAnsi="Arial" w:cs="Arial"/>
        </w:rPr>
        <w:fldChar w:fldCharType="separate"/>
      </w:r>
      <w:r w:rsidR="000F77F1">
        <w:rPr>
          <w:rFonts w:ascii="Arial" w:eastAsiaTheme="minorEastAsia" w:hAnsi="Arial" w:cs="Arial"/>
          <w:noProof/>
        </w:rPr>
        <w:t>Wang (2012)</w:t>
      </w:r>
      <w:r w:rsidR="000F77F1">
        <w:rPr>
          <w:rFonts w:ascii="Arial" w:eastAsiaTheme="minorEastAsia" w:hAnsi="Arial" w:cs="Arial"/>
        </w:rPr>
        <w:fldChar w:fldCharType="end"/>
      </w:r>
      <w:r w:rsidR="000F77F1">
        <w:rPr>
          <w:rFonts w:ascii="Arial" w:eastAsiaTheme="minorEastAsia" w:hAnsi="Arial" w:cs="Arial"/>
        </w:rPr>
        <w:t xml:space="preserve"> introduced a hierarchical Bayesian representation of the regular graphical Lasso as well as the adaptive graphical Lasso </w:t>
      </w:r>
      <w:r w:rsidR="00C77DA8">
        <w:rPr>
          <w:rFonts w:ascii="Arial" w:eastAsiaTheme="minorEastAsia" w:hAnsi="Arial" w:cs="Arial"/>
        </w:rPr>
        <w:fldChar w:fldCharType="begin"/>
      </w:r>
      <w:r w:rsidR="00C77DA8">
        <w:rPr>
          <w:rFonts w:ascii="Arial" w:eastAsiaTheme="minorEastAsia" w:hAnsi="Arial" w:cs="Arial"/>
        </w:rPr>
        <w:instrText xml:space="preserve"> ADDIN EN.CITE &lt;EndNote&gt;&lt;Cite&gt;&lt;Author&gt;Fan&lt;/Author&gt;&lt;Year&gt;2009&lt;/Year&gt;&lt;RecNum&gt;1029&lt;/RecNum&gt;&lt;DisplayText&gt;(Fan et al., 2009)&lt;/DisplayText&gt;&lt;record&gt;&lt;rec-number&gt;1029&lt;/rec-number&gt;&lt;foreign-keys&gt;&lt;key app="EN" db-id="x2922pa5k2dxthexst355fze9fs9ssfv9txp" timestamp="1499385067"&gt;1029&lt;/key&gt;&lt;/foreign-keys&gt;&lt;ref-type name="Journal Article"&gt;17&lt;/ref-type&gt;&lt;contributors&gt;&lt;authors&gt;&lt;author&gt;Fan, Jianqing&lt;/author&gt;&lt;author&gt;Feng, Yang&lt;/author&gt;&lt;author&gt;Wu, Yichao&lt;/author&gt;&lt;/authors&gt;&lt;/contributors&gt;&lt;titles&gt;&lt;title&gt;Network exploration via the adaptive LASSO and SCAD penalties&lt;/title&gt;&lt;secondary-title&gt;The Annals of Applied Statistics&lt;/secondary-title&gt;&lt;/titles&gt;&lt;periodical&gt;&lt;full-title&gt;The Annals of Applied Statistics&lt;/full-title&gt;&lt;/periodical&gt;&lt;pages&gt;521-541&lt;/pages&gt;&lt;volume&gt;3&lt;/volume&gt;&lt;number&gt;2&lt;/number&gt;&lt;dates&gt;&lt;year&gt;2009&lt;/year&gt;&lt;/dates&gt;&lt;isbn&gt;1932-6157&lt;/isbn&gt;&lt;urls&gt;&lt;/urls&gt;&lt;electronic-resource-num&gt;10.1214/08-aoas215&lt;/electronic-resource-num&gt;&lt;/record&gt;&lt;/Cite&gt;&lt;/EndNote&gt;</w:instrText>
      </w:r>
      <w:r w:rsidR="00C77DA8">
        <w:rPr>
          <w:rFonts w:ascii="Arial" w:eastAsiaTheme="minorEastAsia" w:hAnsi="Arial" w:cs="Arial"/>
        </w:rPr>
        <w:fldChar w:fldCharType="separate"/>
      </w:r>
      <w:r w:rsidR="00C77DA8">
        <w:rPr>
          <w:rFonts w:ascii="Arial" w:eastAsiaTheme="minorEastAsia" w:hAnsi="Arial" w:cs="Arial"/>
          <w:noProof/>
        </w:rPr>
        <w:t>(Fan et al., 2009)</w:t>
      </w:r>
      <w:r w:rsidR="00C77DA8">
        <w:rPr>
          <w:rFonts w:ascii="Arial" w:eastAsiaTheme="minorEastAsia" w:hAnsi="Arial" w:cs="Arial"/>
        </w:rPr>
        <w:fldChar w:fldCharType="end"/>
      </w:r>
      <w:r w:rsidR="0011527B">
        <w:rPr>
          <w:rFonts w:ascii="Arial" w:eastAsiaTheme="minorEastAsia" w:hAnsi="Arial" w:cs="Arial"/>
        </w:rPr>
        <w:t xml:space="preserve">. The frequentist adaptive graphical Lasso was devised to </w:t>
      </w:r>
      <w:r w:rsidR="00572F86">
        <w:rPr>
          <w:rFonts w:ascii="Arial" w:eastAsiaTheme="minorEastAsia" w:hAnsi="Arial" w:cs="Arial"/>
        </w:rPr>
        <w:t>link the</w:t>
      </w:r>
      <w:r w:rsidR="0011527B">
        <w:rPr>
          <w:rFonts w:ascii="Arial" w:eastAsiaTheme="minorEastAsia" w:hAnsi="Arial" w:cs="Arial"/>
        </w:rPr>
        <w:t xml:space="preserve"> magnitude of the penalty parameter </w:t>
      </w:r>
      <w:r w:rsidR="00D5526E">
        <w:rPr>
          <w:rFonts w:ascii="Arial" w:eastAsiaTheme="minorEastAsia" w:hAnsi="Arial" w:cs="Arial"/>
        </w:rPr>
        <w:t xml:space="preserve">to the norm of individual concentration matrix entries and </w:t>
      </w:r>
      <w:r w:rsidR="001C7BFE">
        <w:rPr>
          <w:rFonts w:ascii="Arial" w:eastAsiaTheme="minorEastAsia" w:hAnsi="Arial" w:cs="Arial"/>
        </w:rPr>
        <w:t>proposes</w:t>
      </w:r>
      <w:r w:rsidR="00D5526E">
        <w:rPr>
          <w:rFonts w:ascii="Arial" w:eastAsiaTheme="minorEastAsia" w:hAnsi="Arial" w:cs="Arial"/>
        </w:rPr>
        <w:t xml:space="preserve"> the following</w:t>
      </w:r>
      <w:r w:rsidR="001C7BFE">
        <w:rPr>
          <w:rFonts w:ascii="Arial" w:eastAsiaTheme="minorEastAsia" w:hAnsi="Arial" w:cs="Arial"/>
        </w:rPr>
        <w:t xml:space="preserve"> penalized</w:t>
      </w:r>
      <w:r w:rsidR="00D5526E">
        <w:rPr>
          <w:rFonts w:ascii="Arial" w:eastAsiaTheme="minorEastAsia" w:hAnsi="Arial" w:cs="Arial"/>
        </w:rPr>
        <w:t xml:space="preserve"> likelihood</w:t>
      </w:r>
      <w:r w:rsidR="001C7BFE">
        <w:rPr>
          <w:rFonts w:ascii="Arial" w:eastAsiaTheme="minorEastAsia" w:hAnsi="Arial" w:cs="Arial"/>
        </w:rPr>
        <w:t xml:space="preserve"> for </w:t>
      </w:r>
      <m:oMath>
        <m:r>
          <m:rPr>
            <m:sty m:val="b"/>
          </m:rPr>
          <w:rPr>
            <w:rFonts w:ascii="Cambria Math" w:eastAsiaTheme="minorEastAsia" w:hAnsi="Cambria Math" w:cs="Arial"/>
          </w:rPr>
          <m:t>Ω</m:t>
        </m:r>
      </m:oMath>
      <w:r w:rsidR="00D5526E">
        <w:rPr>
          <w:rFonts w:ascii="Arial" w:eastAsiaTheme="minorEastAsia" w:hAnsi="Arial" w:cs="Arial"/>
        </w:rPr>
        <w:t>:</w:t>
      </w:r>
    </w:p>
    <w:p w:rsidR="00D5526E" w:rsidRDefault="00D5526E" w:rsidP="00095E00">
      <w:pPr>
        <w:rPr>
          <w:rFonts w:ascii="Arial" w:eastAsiaTheme="minorEastAsia" w:hAnsi="Arial" w:cs="Arial"/>
        </w:rPr>
      </w:pP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ctrlPr>
                <w:rPr>
                  <w:rFonts w:ascii="Cambria Math" w:eastAsiaTheme="minorEastAsia" w:hAnsi="Cambria Math" w:cs="Arial"/>
                </w:rPr>
              </m:ctrlP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-λ</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1≤i≤p</m:t>
              </m:r>
            </m:sub>
            <m:sup/>
            <m:e>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1≤j≤p</m:t>
                  </m:r>
                </m:sub>
                <m:sup/>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e>
              </m:nary>
            </m:e>
          </m:nary>
        </m:oMath>
      </m:oMathPara>
    </w:p>
    <w:p w:rsidR="00912827" w:rsidRPr="00706F0C" w:rsidRDefault="00C218F4" w:rsidP="00095E00">
      <w:pPr>
        <w:pStyle w:val="NoSpacing"/>
        <w:rPr>
          <w:rFonts w:ascii="Arial" w:eastAsiaTheme="minorEastAsia" w:hAnsi="Arial" w:cs="Arial"/>
        </w:rPr>
      </w:pPr>
      <w:r>
        <w:rPr>
          <w:rFonts w:ascii="Arial" w:hAnsi="Arial"/>
        </w:rPr>
        <w:t xml:space="preserve">with weights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e>
            </m:d>
          </m:e>
          <m:sup>
            <m:r>
              <w:rPr>
                <w:rFonts w:ascii="Cambria Math" w:hAnsi="Cambria Math"/>
              </w:rPr>
              <m:t>α</m:t>
            </m:r>
          </m:sup>
        </m:sSup>
      </m:oMath>
      <w:r w:rsidR="00F12EDF">
        <w:rPr>
          <w:rFonts w:ascii="Arial" w:eastAsiaTheme="minorEastAsia" w:hAnsi="Arial"/>
        </w:rPr>
        <w:t xml:space="preserve"> where </w:t>
      </w:r>
      <m:oMath>
        <m:r>
          <w:rPr>
            <w:rFonts w:ascii="Cambria Math" w:eastAsiaTheme="minorEastAsia" w:hAnsi="Cambria Math"/>
          </w:rPr>
          <m:t>α&gt;0</m:t>
        </m:r>
      </m:oMath>
      <w:r w:rsidR="00F12EDF">
        <w:rPr>
          <w:rFonts w:ascii="Arial" w:eastAsiaTheme="minorEastAsia" w:hAnsi="Arial"/>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oMath>
      <w:r w:rsidR="00F12EDF">
        <w:rPr>
          <w:rFonts w:ascii="Arial" w:eastAsiaTheme="minorEastAsia" w:hAnsi="Arial"/>
        </w:rPr>
        <w:t>are estimates for the concentration matrix entries, such as regular graphical Lasso estimates.</w:t>
      </w:r>
      <w:r w:rsidR="00C77DA8">
        <w:rPr>
          <w:rFonts w:ascii="Arial" w:hAnsi="Arial"/>
        </w:rPr>
        <w:br/>
      </w:r>
      <m:oMathPara>
        <m:oMath>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r>
                <m:rPr>
                  <m:sty m:val="b"/>
                </m:rPr>
                <w:rPr>
                  <w:rFonts w:ascii="Cambria Math" w:hAnsi="Cambria Math"/>
                </w:rPr>
                <m:t>Ω</m:t>
              </m:r>
            </m:e>
          </m:d>
          <m:r>
            <m:rPr>
              <m:scr m:val="script"/>
              <m:sty m:val="p"/>
            </m:rP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p>
                <m:sSupPr>
                  <m:ctrlPr>
                    <w:rPr>
                      <w:rFonts w:ascii="Cambria Math" w:hAnsi="Cambria Math"/>
                    </w:rPr>
                  </m:ctrlPr>
                </m:sSupPr>
                <m:e>
                  <m:r>
                    <m:rPr>
                      <m:sty m:val="b"/>
                    </m:rPr>
                    <w:rPr>
                      <w:rFonts w:ascii="Cambria Math" w:hAnsi="Cambria Math"/>
                    </w:rPr>
                    <m:t>Ω</m:t>
                  </m:r>
                </m:e>
                <m:sup>
                  <m:r>
                    <m:rPr>
                      <m:sty m:val="p"/>
                    </m:rPr>
                    <w:rPr>
                      <w:rFonts w:ascii="Cambria Math" w:hAnsi="Cambria Math"/>
                    </w:rPr>
                    <m:t>-1</m:t>
                  </m:r>
                </m:sup>
              </m:sSup>
            </m:e>
          </m:d>
          <m:r>
            <m:rPr>
              <m:sty m:val="p"/>
            </m:rPr>
            <w:rPr>
              <w:rFonts w:ascii="Cambria Math" w:hAnsi="Cambria Math"/>
            </w:rPr>
            <m:t xml:space="preserve">      </m:t>
          </m:r>
          <m:r>
            <w:rPr>
              <w:rFonts w:ascii="Cambria Math" w:hAnsi="Cambria Math"/>
            </w:rPr>
            <m:t>i</m:t>
          </m:r>
          <m:r>
            <m:rPr>
              <m:sty m:val="p"/>
            </m:rPr>
            <w:rPr>
              <w:rFonts w:ascii="Cambria Math" w:hAnsi="Cambria Math"/>
            </w:rPr>
            <m:t>=1, 2, …,</m:t>
          </m:r>
          <m:r>
            <w:rPr>
              <w:rFonts w:ascii="Cambria Math" w:hAnsi="Cambria Math"/>
            </w:rPr>
            <m:t>n</m:t>
          </m:r>
        </m:oMath>
      </m:oMathPara>
    </w:p>
    <w:p w:rsidR="00C77DA8" w:rsidRPr="0014731E" w:rsidRDefault="009B0184"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up>
              <m:r>
                <w:rPr>
                  <w:rFonts w:ascii="Cambria Math" w:eastAsiaTheme="minorEastAsia" w:hAnsi="Cambria Math" w:cs="Arial"/>
                </w:rPr>
                <m:t>-1</m:t>
              </m:r>
            </m:sup>
          </m:sSubSup>
          <m:r>
            <w:rPr>
              <w:rFonts w:ascii="Cambria Math" w:eastAsiaTheme="minorEastAsia" w:hAnsi="Cambria Math" w:cs="Arial"/>
            </w:rPr>
            <m:t xml:space="preserve"> </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DE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nary>
          <m:nary>
            <m:naryPr>
              <m:chr m:val="∏"/>
              <m:limLoc m:val="undOvr"/>
              <m:ctrlPr>
                <w:rPr>
                  <w:rFonts w:ascii="Cambria Math" w:eastAsiaTheme="minorEastAsia" w:hAnsi="Cambria Math" w:cs="Arial"/>
                </w:rPr>
              </m:ctrlPr>
            </m:naryPr>
            <m:sub>
              <m:r>
                <w:rPr>
                  <w:rFonts w:ascii="Cambria Math" w:eastAsiaTheme="minorEastAsia" w:hAnsi="Cambria Math" w:cs="Arial"/>
                </w:rPr>
                <m:t>i=1</m:t>
              </m:r>
            </m:sub>
            <m:sup>
              <m:r>
                <w:rPr>
                  <w:rFonts w:ascii="Cambria Math" w:eastAsiaTheme="minorEastAsia" w:hAnsi="Cambria Math" w:cs="Arial"/>
                </w:rPr>
                <m:t>p</m:t>
              </m:r>
            </m:sup>
            <m:e>
              <m:r>
                <m:rPr>
                  <m:sty m:val="p"/>
                </m:rPr>
                <w:rPr>
                  <w:rFonts w:ascii="Cambria Math" w:eastAsiaTheme="minorEastAsia" w:hAnsi="Cambria Math" w:cs="Arial"/>
                </w:rPr>
                <m:t>EXP</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r>
                    <w:rPr>
                      <w:rFonts w:ascii="Cambria Math" w:eastAsiaTheme="minorEastAsia" w:hAnsi="Cambria Math" w:cs="Arial"/>
                    </w:rPr>
                    <m:t xml:space="preserve">/2 </m:t>
                  </m:r>
                </m:e>
              </m:d>
            </m:e>
          </m:nary>
          <m:r>
            <w:rPr>
              <w:rFonts w:ascii="Cambria Math" w:eastAsiaTheme="minorEastAsia" w:hAnsi="Cambria Math" w:cs="Arial"/>
            </w:rPr>
            <m:t>∙</m:t>
          </m:r>
          <w:bookmarkStart w:id="0" w:name="_Hlk498242073"/>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w:bookmarkEnd w:id="0"/>
          <m:r>
            <w:rPr>
              <w:rFonts w:ascii="Cambria Math" w:eastAsiaTheme="minorEastAsia" w:hAnsi="Cambria Math" w:cs="Arial"/>
            </w:rPr>
            <m:t>,</m:t>
          </m:r>
        </m:oMath>
      </m:oMathPara>
    </w:p>
    <w:p w:rsidR="0014731E" w:rsidRPr="0079069F" w:rsidRDefault="00432EF9"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e>
                  </m:d>
                </m:e>
                <m:sub>
                  <m:r>
                    <w:rPr>
                      <w:rFonts w:ascii="Cambria Math" w:eastAsiaTheme="minorEastAsia" w:hAnsi="Cambria Math" w:cs="Arial"/>
                    </w:rPr>
                    <m:t>i=1</m:t>
                  </m:r>
                </m:sub>
                <m:sup>
                  <m:r>
                    <w:rPr>
                      <w:rFonts w:ascii="Cambria Math" w:eastAsiaTheme="minorEastAsia" w:hAnsi="Cambria Math" w:cs="Arial"/>
                    </w:rPr>
                    <m:t>p</m:t>
                  </m:r>
                </m:sup>
              </m:sSub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Sub>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GA</m:t>
              </m:r>
              <m:d>
                <m:dPr>
                  <m:ctrlPr>
                    <w:rPr>
                      <w:rFonts w:ascii="Cambria Math" w:eastAsiaTheme="minorEastAsia" w:hAnsi="Cambria Math" w:cs="Arial"/>
                      <w:i/>
                    </w:rPr>
                  </m:ctrlPr>
                </m:dPr>
                <m:e>
                  <m:r>
                    <w:rPr>
                      <w:rFonts w:ascii="Cambria Math" w:eastAsiaTheme="minorEastAsia" w:hAnsi="Cambria Math" w:cs="Arial"/>
                    </w:rPr>
                    <m:t>r,s</m:t>
                  </m:r>
                </m:e>
              </m:d>
            </m:e>
          </m:nary>
        </m:oMath>
      </m:oMathPara>
    </w:p>
    <w:p w:rsidR="0079069F" w:rsidRPr="00C77DA8" w:rsidRDefault="0079069F" w:rsidP="00095E00">
      <w:pPr>
        <w:rPr>
          <w:rFonts w:ascii="Arial" w:eastAsiaTheme="minorEastAsia" w:hAnsi="Arial" w:cs="Arial"/>
        </w:rPr>
      </w:pPr>
      <w:r>
        <w:rPr>
          <w:rFonts w:ascii="Arial" w:eastAsiaTheme="minorEastAsia" w:hAnsi="Arial" w:cs="Arial"/>
        </w:rPr>
        <w:t>In the above model formulation</w:t>
      </w:r>
      <w:r w:rsidR="007C7BB6">
        <w:rPr>
          <w:rFonts w:ascii="Arial" w:eastAsiaTheme="minorEastAsia" w:hAnsi="Arial" w:cs="Arial"/>
        </w:rPr>
        <w:t xml:space="preserve"> for the density of </w:t>
      </w:r>
      <m:oMath>
        <m:r>
          <m:rPr>
            <m:sty m:val="b"/>
          </m:rPr>
          <w:rPr>
            <w:rFonts w:ascii="Cambria Math" w:eastAsiaTheme="minorEastAsia" w:hAnsi="Cambria Math" w:cs="Arial"/>
          </w:rPr>
          <m:t>Ω</m:t>
        </m:r>
      </m:oMath>
      <w:r w:rsidR="007C7BB6">
        <w:rPr>
          <w:rFonts w:ascii="Arial" w:eastAsiaTheme="minorEastAsia" w:hAnsi="Arial" w:cs="Arial"/>
          <w:b/>
        </w:rPr>
        <w:t xml:space="preserve"> </w:t>
      </w:r>
      <w:r w:rsidR="007C7BB6" w:rsidRPr="007C7BB6">
        <w:rPr>
          <w:rFonts w:ascii="Arial" w:eastAsiaTheme="minorEastAsia" w:hAnsi="Arial" w:cs="Arial"/>
        </w:rPr>
        <w:t xml:space="preserve">conditional on </w:t>
      </w:r>
      <w:r w:rsidR="007C7BB6">
        <w:rPr>
          <w:rFonts w:ascii="Arial" w:eastAsiaTheme="minorEastAsia" w:hAnsi="Arial" w:cs="Arial"/>
        </w:rPr>
        <w:t xml:space="preserve">the realizations of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 xml:space="preserve">, </w:t>
      </w:r>
      <w:bookmarkStart w:id="1" w:name="_Hlk498241937"/>
      <m:oMath>
        <m:r>
          <m:rPr>
            <m:sty m:val="p"/>
          </m:rPr>
          <w:rPr>
            <w:rFonts w:ascii="Cambria Math" w:eastAsiaTheme="minorEastAsia" w:hAnsi="Cambria Math" w:cs="Arial"/>
          </w:rPr>
          <m:t>DE</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represents the double exponential</w:t>
      </w:r>
      <w:bookmarkEnd w:id="1"/>
      <w:r>
        <w:rPr>
          <w:rFonts w:ascii="Arial" w:eastAsiaTheme="minorEastAsia" w:hAnsi="Arial" w:cs="Arial"/>
        </w:rPr>
        <w:t xml:space="preserve">, or Laplace distribution, and </w:t>
      </w:r>
      <m:oMath>
        <m:r>
          <m:rPr>
            <m:sty m:val="p"/>
          </m:rPr>
          <w:rPr>
            <w:rFonts w:ascii="Cambria Math" w:eastAsiaTheme="minorEastAsia" w:hAnsi="Cambria Math" w:cs="Arial"/>
          </w:rPr>
          <m:t>EXP</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the exponential distribution with scale parameter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w:t>
      </w:r>
      <w:r w:rsidR="00A12795">
        <w:rPr>
          <w:rFonts w:ascii="Arial" w:eastAsiaTheme="minorEastAsia" w:hAnsi="Arial" w:cs="Arial"/>
        </w:rPr>
        <w:t xml:space="preserve"> The space of positive definite matrices is represented by </w:t>
      </w:r>
      <m:oMath>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m:oMath>
      <w:r w:rsidR="007C7BB6">
        <w:rPr>
          <w:rFonts w:ascii="Arial" w:eastAsiaTheme="minorEastAsia" w:hAnsi="Arial" w:cs="Arial"/>
        </w:rPr>
        <w:t xml:space="preserve">. Finally, </w:t>
      </w:r>
      <m:oMath>
        <m:r>
          <w:rPr>
            <w:rFonts w:ascii="Cambria Math" w:eastAsiaTheme="minorEastAsia" w:hAnsi="Cambria Math" w:cs="Arial"/>
          </w:rPr>
          <m:t>C</m:t>
        </m:r>
      </m:oMath>
      <w:r w:rsidR="007C7BB6">
        <w:rPr>
          <w:rFonts w:ascii="Arial" w:eastAsiaTheme="minorEastAsia" w:hAnsi="Arial" w:cs="Arial"/>
        </w:rPr>
        <w:t xml:space="preserve"> represents the normalizing constant so that </w:t>
      </w:r>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oMath>
      <w:r w:rsidR="007C7BB6">
        <w:rPr>
          <w:rFonts w:ascii="Arial" w:eastAsiaTheme="minorEastAsia" w:hAnsi="Arial" w:cs="Arial"/>
        </w:rPr>
        <w:t xml:space="preserve"> is a proper probability distribution. </w:t>
      </w:r>
      <w:r w:rsidR="00313A78">
        <w:rPr>
          <w:rFonts w:ascii="Arial" w:eastAsiaTheme="minorEastAsia" w:hAnsi="Arial" w:cs="Arial"/>
        </w:rPr>
        <w:t xml:space="preserve">For the non-adaptive </w:t>
      </w:r>
      <w:r w:rsidR="00313A78">
        <w:rPr>
          <w:rFonts w:ascii="Arial" w:eastAsiaTheme="minorEastAsia" w:hAnsi="Arial" w:cs="Arial"/>
        </w:rPr>
        <w:lastRenderedPageBreak/>
        <w:t xml:space="preserve">Bayesian graphical Lasso,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=λ</m:t>
        </m:r>
      </m:oMath>
      <w:r w:rsidR="00313A78">
        <w:rPr>
          <w:rFonts w:ascii="Arial" w:eastAsiaTheme="minorEastAsia" w:hAnsi="Arial" w:cs="Arial"/>
        </w:rPr>
        <w:t xml:space="preserve"> for all </w:t>
      </w:r>
      <m:oMath>
        <m:r>
          <w:rPr>
            <w:rFonts w:ascii="Cambria Math" w:eastAsiaTheme="minorEastAsia" w:hAnsi="Cambria Math" w:cs="Arial"/>
          </w:rPr>
          <m:t>i</m:t>
        </m:r>
      </m:oMath>
      <w:r w:rsidR="00313A78">
        <w:rPr>
          <w:rFonts w:ascii="Arial" w:eastAsiaTheme="minorEastAsia" w:hAnsi="Arial" w:cs="Arial"/>
        </w:rPr>
        <w:t xml:space="preserve"> and </w:t>
      </w:r>
      <m:oMath>
        <m:r>
          <w:rPr>
            <w:rFonts w:ascii="Cambria Math" w:eastAsiaTheme="minorEastAsia" w:hAnsi="Cambria Math" w:cs="Arial"/>
          </w:rPr>
          <m:t>j</m:t>
        </m:r>
      </m:oMath>
      <w:r w:rsidR="00313A78">
        <w:rPr>
          <w:rFonts w:ascii="Arial" w:eastAsiaTheme="minorEastAsia" w:hAnsi="Arial" w:cs="Arial"/>
        </w:rPr>
        <w:t xml:space="preserve">, in other words the shrinkage parameter is not specific to each concentration matrix entry. </w:t>
      </w:r>
      <w:r w:rsidR="00313A78">
        <w:rPr>
          <w:rFonts w:ascii="Arial" w:eastAsiaTheme="minorEastAsia" w:hAnsi="Arial" w:cs="Arial"/>
        </w:rPr>
        <w:fldChar w:fldCharType="begin"/>
      </w:r>
      <w:r w:rsidR="00313A78">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313A78">
        <w:rPr>
          <w:rFonts w:ascii="Arial" w:eastAsiaTheme="minorEastAsia" w:hAnsi="Arial" w:cs="Arial"/>
        </w:rPr>
        <w:fldChar w:fldCharType="separate"/>
      </w:r>
      <w:r w:rsidR="00313A78">
        <w:rPr>
          <w:rFonts w:ascii="Arial" w:eastAsiaTheme="minorEastAsia" w:hAnsi="Arial" w:cs="Arial"/>
          <w:noProof/>
        </w:rPr>
        <w:t>Wang (2012)</w:t>
      </w:r>
      <w:r w:rsidR="00313A78">
        <w:rPr>
          <w:rFonts w:ascii="Arial" w:eastAsiaTheme="minorEastAsia" w:hAnsi="Arial" w:cs="Arial"/>
        </w:rPr>
        <w:fldChar w:fldCharType="end"/>
      </w:r>
      <w:r w:rsidR="00313A78">
        <w:rPr>
          <w:rFonts w:ascii="Arial" w:eastAsiaTheme="minorEastAsia" w:hAnsi="Arial" w:cs="Arial"/>
        </w:rPr>
        <w:t xml:space="preserve"> chooses a gamma prior for </w:t>
      </w:r>
      <m:oMath>
        <m:r>
          <w:rPr>
            <w:rFonts w:ascii="Cambria Math" w:eastAsiaTheme="minorEastAsia" w:hAnsi="Cambria Math" w:cs="Arial"/>
          </w:rPr>
          <m:t>λ</m:t>
        </m:r>
      </m:oMath>
      <w:r w:rsidR="00313A78">
        <w:rPr>
          <w:rFonts w:ascii="Arial" w:eastAsiaTheme="minorEastAsia" w:hAnsi="Arial" w:cs="Arial"/>
        </w:rPr>
        <w:t xml:space="preserve">, that is </w:t>
      </w:r>
      <m:oMath>
        <m:r>
          <w:rPr>
            <w:rFonts w:ascii="Cambria Math" w:eastAsiaTheme="minorEastAsia" w:hAnsi="Cambria Math" w:cs="Arial"/>
          </w:rPr>
          <m:t>λ∼</m:t>
        </m:r>
        <m:r>
          <m:rPr>
            <m:sty m:val="p"/>
          </m:rPr>
          <w:rPr>
            <w:rFonts w:ascii="Cambria Math" w:eastAsiaTheme="minorEastAsia" w:hAnsi="Cambria Math" w:cs="Arial"/>
          </w:rPr>
          <m:t>Gamma</m:t>
        </m:r>
        <m:r>
          <w:rPr>
            <w:rFonts w:ascii="Cambria Math" w:eastAsiaTheme="minorEastAsia" w:hAnsi="Cambria Math" w:cs="Arial"/>
          </w:rPr>
          <m:t>(r,s)</m:t>
        </m:r>
      </m:oMath>
      <w:r w:rsidR="00313A78">
        <w:rPr>
          <w:rFonts w:ascii="Arial" w:eastAsiaTheme="minorEastAsia" w:hAnsi="Arial" w:cs="Arial"/>
        </w:rPr>
        <w:t xml:space="preserve">, where </w:t>
      </w:r>
      <m:oMath>
        <m:r>
          <w:rPr>
            <w:rFonts w:ascii="Cambria Math" w:eastAsiaTheme="minorEastAsia" w:hAnsi="Cambria Math" w:cs="Arial"/>
          </w:rPr>
          <m:t>r</m:t>
        </m:r>
      </m:oMath>
      <w:r w:rsidR="00313A78">
        <w:rPr>
          <w:rFonts w:ascii="Arial" w:eastAsiaTheme="minorEastAsia" w:hAnsi="Arial" w:cs="Arial"/>
        </w:rPr>
        <w:t xml:space="preserve"> and </w:t>
      </w:r>
      <m:oMath>
        <m:r>
          <w:rPr>
            <w:rFonts w:ascii="Cambria Math" w:eastAsiaTheme="minorEastAsia" w:hAnsi="Cambria Math" w:cs="Arial"/>
          </w:rPr>
          <m:t>s</m:t>
        </m:r>
      </m:oMath>
      <w:r w:rsidR="00313A78">
        <w:rPr>
          <w:rFonts w:ascii="Arial" w:eastAsiaTheme="minorEastAsia" w:hAnsi="Arial" w:cs="Arial"/>
        </w:rPr>
        <w:t xml:space="preserve"> are hyperparameters</w:t>
      </w:r>
      <w:r w:rsidR="001E49D8">
        <w:rPr>
          <w:rFonts w:ascii="Arial" w:eastAsiaTheme="minorEastAsia" w:hAnsi="Arial" w:cs="Arial"/>
        </w:rPr>
        <w:t xml:space="preserve"> and develops a</w:t>
      </w:r>
      <w:r w:rsidR="00B95662">
        <w:rPr>
          <w:rFonts w:ascii="Arial" w:eastAsiaTheme="minorEastAsia" w:hAnsi="Arial" w:cs="Arial"/>
        </w:rPr>
        <w:t xml:space="preserve"> data-augmented</w:t>
      </w:r>
      <w:r w:rsidR="001E49D8">
        <w:rPr>
          <w:rFonts w:ascii="Arial" w:eastAsiaTheme="minorEastAsia" w:hAnsi="Arial" w:cs="Arial"/>
        </w:rPr>
        <w:t xml:space="preserve"> </w:t>
      </w:r>
      <w:r w:rsidR="00663EB7">
        <w:rPr>
          <w:rFonts w:ascii="Arial" w:eastAsiaTheme="minorEastAsia" w:hAnsi="Arial" w:cs="Arial"/>
        </w:rPr>
        <w:t xml:space="preserve">block Gibbs sampler </w:t>
      </w:r>
      <w:r w:rsidR="00B95662">
        <w:rPr>
          <w:rFonts w:ascii="Arial" w:eastAsiaTheme="minorEastAsia" w:hAnsi="Arial" w:cs="Arial"/>
        </w:rPr>
        <w:t xml:space="preserve">for sampling from the posterior distribution of </w:t>
      </w:r>
      <m:oMath>
        <m:r>
          <m:rPr>
            <m:sty m:val="b"/>
          </m:rPr>
          <w:rPr>
            <w:rFonts w:ascii="Cambria Math" w:eastAsiaTheme="minorEastAsia" w:hAnsi="Cambria Math" w:cs="Arial"/>
          </w:rPr>
          <m:t>Ω</m:t>
        </m:r>
      </m:oMath>
      <w:r w:rsidR="00774B6C">
        <w:rPr>
          <w:rFonts w:ascii="Arial" w:eastAsiaTheme="minorEastAsia" w:hAnsi="Arial" w:cs="Arial"/>
        </w:rPr>
        <w:t xml:space="preserve">. Further, it is shown that the conditional </w:t>
      </w:r>
      <w:r w:rsidR="00BC3FB4">
        <w:rPr>
          <w:rFonts w:ascii="Arial" w:eastAsiaTheme="minorEastAsia" w:hAnsi="Arial" w:cs="Arial"/>
        </w:rPr>
        <w:t>distribution</w:t>
      </w:r>
      <w:r w:rsidR="00774B6C">
        <w:rPr>
          <w:rFonts w:ascii="Arial" w:eastAsiaTheme="minorEastAsia" w:hAnsi="Arial" w:cs="Arial"/>
        </w:rPr>
        <w:t xml:space="preserve"> of the shrinkage parameter </w:t>
      </w:r>
      <w:r w:rsidR="00BC3FB4">
        <w:rPr>
          <w:rFonts w:ascii="Arial" w:eastAsiaTheme="minorEastAsia" w:hAnsi="Arial" w:cs="Arial"/>
        </w:rPr>
        <w:t xml:space="preserve">is then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m:t>
        </m:r>
        <m:r>
          <m:rPr>
            <m:sty m:val="b"/>
          </m:rPr>
          <w:rPr>
            <w:rFonts w:ascii="Cambria Math" w:eastAsiaTheme="minorEastAsia" w:hAnsi="Cambria Math" w:cs="Arial"/>
          </w:rPr>
          <m:t>Ω</m:t>
        </m:r>
        <m:r>
          <w:rPr>
            <w:rFonts w:ascii="Cambria Math" w:eastAsiaTheme="minorEastAsia" w:hAnsi="Cambria Math" w:cs="Arial"/>
          </w:rPr>
          <m:t>~</m:t>
        </m:r>
        <m:r>
          <m:rPr>
            <m:sty m:val="p"/>
          </m:rPr>
          <w:rPr>
            <w:rFonts w:ascii="Cambria Math" w:eastAsiaTheme="minorEastAsia" w:hAnsi="Cambria Math" w:cs="Arial"/>
          </w:rPr>
          <m:t>GA</m:t>
        </m:r>
        <m:r>
          <w:rPr>
            <w:rFonts w:ascii="Cambria Math" w:eastAsiaTheme="minorEastAsia" w:hAnsi="Cambria Math" w:cs="Arial"/>
          </w:rPr>
          <m:t>(1+r,|</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r>
          <w:rPr>
            <w:rFonts w:ascii="Cambria Math" w:eastAsiaTheme="minorEastAsia" w:hAnsi="Cambria Math" w:cs="Arial"/>
          </w:rPr>
          <m:t>|+s)</m:t>
        </m:r>
      </m:oMath>
      <w:r w:rsidR="00BC3FB4">
        <w:rPr>
          <w:rFonts w:ascii="Arial" w:eastAsiaTheme="minorEastAsia" w:hAnsi="Arial" w:cs="Arial"/>
        </w:rPr>
        <w:t>.</w:t>
      </w:r>
      <w:r w:rsidR="00CE54BC">
        <w:rPr>
          <w:rFonts w:ascii="Arial" w:eastAsiaTheme="minorEastAsia" w:hAnsi="Arial" w:cs="Arial"/>
        </w:rPr>
        <w:t xml:space="preserve"> </w:t>
      </w:r>
      <w:r w:rsidR="00CE54BC">
        <w:rPr>
          <w:rFonts w:ascii="Arial" w:eastAsiaTheme="minorEastAsia" w:hAnsi="Arial" w:cs="Arial"/>
        </w:rPr>
        <w:fldChar w:fldCharType="begin"/>
      </w:r>
      <w:r w:rsidR="00CE54BC">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CE54BC">
        <w:rPr>
          <w:rFonts w:ascii="Arial" w:eastAsiaTheme="minorEastAsia" w:hAnsi="Arial" w:cs="Arial"/>
        </w:rPr>
        <w:fldChar w:fldCharType="separate"/>
      </w:r>
      <w:r w:rsidR="00CE54BC">
        <w:rPr>
          <w:rFonts w:ascii="Arial" w:eastAsiaTheme="minorEastAsia" w:hAnsi="Arial" w:cs="Arial"/>
          <w:noProof/>
        </w:rPr>
        <w:t>Wang (2012)</w:t>
      </w:r>
      <w:r w:rsidR="00CE54BC">
        <w:rPr>
          <w:rFonts w:ascii="Arial" w:eastAsiaTheme="minorEastAsia" w:hAnsi="Arial" w:cs="Arial"/>
        </w:rPr>
        <w:fldChar w:fldCharType="end"/>
      </w:r>
      <w:r w:rsidR="00CE54BC">
        <w:rPr>
          <w:rFonts w:ascii="Arial" w:eastAsiaTheme="minorEastAsia" w:hAnsi="Arial" w:cs="Arial"/>
        </w:rPr>
        <w:t xml:space="preserve"> proposes to </w:t>
      </w:r>
      <w:r w:rsidR="002E62B2">
        <w:rPr>
          <w:rFonts w:ascii="Arial" w:eastAsiaTheme="minorEastAsia" w:hAnsi="Arial" w:cs="Arial"/>
        </w:rPr>
        <w:t>link the</w:t>
      </w:r>
      <w:r w:rsidR="00562EF1">
        <w:rPr>
          <w:rFonts w:ascii="Arial" w:eastAsiaTheme="minorEastAsia" w:hAnsi="Arial" w:cs="Arial"/>
        </w:rPr>
        <w:t xml:space="preserve"> scale hyperparameter for the</w:t>
      </w:r>
      <w:r w:rsidR="002E62B2">
        <w:rPr>
          <w:rFonts w:ascii="Arial" w:eastAsiaTheme="minorEastAsia" w:hAnsi="Arial" w:cs="Arial"/>
        </w:rPr>
        <w:t xml:space="preserve"> shrinkage to the</w:t>
      </w:r>
      <w:r w:rsidR="00562EF1">
        <w:rPr>
          <w:rFonts w:ascii="Arial" w:eastAsiaTheme="minorEastAsia" w:hAnsi="Arial" w:cs="Arial"/>
        </w:rPr>
        <w:t xml:space="preserve"> norm of the</w:t>
      </w:r>
      <w:r w:rsidR="002E62B2">
        <w:rPr>
          <w:rFonts w:ascii="Arial" w:eastAsiaTheme="minorEastAsia" w:hAnsi="Arial" w:cs="Arial"/>
        </w:rPr>
        <w:t xml:space="preserve"> current MCMC iteration estimate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oMath>
      <w:r w:rsidR="002E62B2">
        <w:rPr>
          <w:rFonts w:ascii="Arial" w:eastAsiaTheme="minorEastAsia" w:hAnsi="Arial" w:cs="Arial"/>
        </w:rPr>
        <w:t xml:space="preserve"> for each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2E62B2">
        <w:rPr>
          <w:rFonts w:ascii="Arial" w:eastAsiaTheme="minorEastAsia" w:hAnsi="Arial" w:cs="Arial"/>
        </w:rPr>
        <w:t>.</w:t>
      </w:r>
      <w:r w:rsidR="003210A5">
        <w:rPr>
          <w:rFonts w:ascii="Arial" w:eastAsiaTheme="minorEastAsia" w:hAnsi="Arial" w:cs="Arial"/>
        </w:rPr>
        <w:t xml:space="preserve"> We propose that instead, [</w:t>
      </w:r>
      <w:r w:rsidR="003210A5" w:rsidRPr="003210A5">
        <w:rPr>
          <w:rFonts w:ascii="Arial" w:eastAsiaTheme="minorEastAsia" w:hAnsi="Arial" w:cs="Arial"/>
          <w:highlight w:val="yellow"/>
        </w:rPr>
        <w:t>LOH</w:t>
      </w:r>
      <w:r w:rsidR="003210A5">
        <w:rPr>
          <w:rFonts w:ascii="Arial" w:eastAsiaTheme="minorEastAsia" w:hAnsi="Arial" w:cs="Arial"/>
        </w:rPr>
        <w:t>].</w:t>
      </w:r>
    </w:p>
    <w:p w:rsidR="00656740" w:rsidRDefault="00656740" w:rsidP="00095E00">
      <w:pPr>
        <w:pStyle w:val="ListParagraph"/>
        <w:numPr>
          <w:ilvl w:val="1"/>
          <w:numId w:val="3"/>
        </w:numPr>
        <w:jc w:val="both"/>
        <w:rPr>
          <w:rFonts w:ascii="Arial" w:hAnsi="Arial" w:cs="Arial"/>
        </w:rPr>
      </w:pPr>
      <w:r>
        <w:rPr>
          <w:rFonts w:ascii="Arial" w:hAnsi="Arial" w:cs="Arial"/>
        </w:rPr>
        <w:t xml:space="preserve">Generating informative priors from molecular structure </w:t>
      </w:r>
    </w:p>
    <w:p w:rsidR="003A2288" w:rsidRPr="00156B0C" w:rsidRDefault="00AC3835" w:rsidP="001F7BB7">
      <w:pPr>
        <w:rPr>
          <w:rFonts w:ascii="Arial" w:hAnsi="Arial" w:cs="Arial"/>
        </w:rPr>
      </w:pPr>
      <w:r>
        <w:rPr>
          <w:rFonts w:ascii="Arial" w:hAnsi="Arial" w:cs="Arial"/>
        </w:rPr>
        <w:t xml:space="preserve">To generate informative shrinkage priors for the adaptive Bayesian graphical Lasso, </w:t>
      </w:r>
      <w:r w:rsidR="00083C09">
        <w:rPr>
          <w:rFonts w:ascii="Arial" w:hAnsi="Arial" w:cs="Arial"/>
        </w:rPr>
        <w:t xml:space="preserve">atom pair descriptors </w:t>
      </w:r>
      <w:r w:rsidR="008714CF">
        <w:rPr>
          <w:rFonts w:ascii="Arial" w:hAnsi="Arial" w:cs="Arial"/>
        </w:rPr>
        <w:t>are</w:t>
      </w:r>
      <w:r w:rsidR="00083C09">
        <w:rPr>
          <w:rFonts w:ascii="Arial" w:hAnsi="Arial" w:cs="Arial"/>
        </w:rPr>
        <w:t xml:space="preserve"> determined for each metabolite feature for which a compound identification has made to a fixed level of confidence such as MSI (Metabolomics Standards Initiative) level 1.</w:t>
      </w:r>
      <w:r w:rsidR="00824F44">
        <w:rPr>
          <w:rFonts w:ascii="Arial" w:hAnsi="Arial" w:cs="Arial"/>
        </w:rPr>
        <w:t xml:space="preserve"> Atom pair descriptors were determined as in </w:t>
      </w:r>
      <w:r w:rsidR="00DF4345">
        <w:rPr>
          <w:rFonts w:ascii="Arial" w:hAnsi="Arial" w:cs="Arial"/>
        </w:rPr>
        <w:fldChar w:fldCharType="begin"/>
      </w:r>
      <w:r w:rsidR="002F529A">
        <w:rPr>
          <w:rFonts w:ascii="Arial" w:hAnsi="Arial" w:cs="Arial"/>
        </w:rPr>
        <w:instrText xml:space="preserve"> ADDIN EN.CITE &lt;EndNote&gt;&lt;Cite AuthorYear="1"&gt;&lt;Author&gt;Chen&lt;/Author&gt;&lt;Year&gt;2002&lt;/Year&gt;&lt;RecNum&gt;1058&lt;/RecNum&gt;&lt;DisplayText&gt;Chen and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DF4345">
        <w:rPr>
          <w:rFonts w:ascii="Arial" w:hAnsi="Arial" w:cs="Arial"/>
        </w:rPr>
        <w:fldChar w:fldCharType="separate"/>
      </w:r>
      <w:r w:rsidR="002F529A">
        <w:rPr>
          <w:rFonts w:ascii="Arial" w:hAnsi="Arial" w:cs="Arial"/>
          <w:noProof/>
        </w:rPr>
        <w:t>Chen and Reynolds (2002)</w:t>
      </w:r>
      <w:r w:rsidR="00DF4345">
        <w:rPr>
          <w:rFonts w:ascii="Arial" w:hAnsi="Arial" w:cs="Arial"/>
        </w:rPr>
        <w:fldChar w:fldCharType="end"/>
      </w:r>
      <w:r w:rsidR="002F529A">
        <w:rPr>
          <w:rFonts w:ascii="Arial" w:hAnsi="Arial" w:cs="Arial"/>
        </w:rPr>
        <w:t xml:space="preserve"> and originally described in</w:t>
      </w:r>
      <w:r w:rsidR="002F529A" w:rsidRPr="002F529A">
        <w:t xml:space="preserve"> </w:t>
      </w:r>
      <w:r w:rsidR="00672552">
        <w:rPr>
          <w:rFonts w:ascii="Arial" w:hAnsi="Arial" w:cs="Arial"/>
        </w:rPr>
        <w:fldChar w:fldCharType="begin"/>
      </w:r>
      <w:r w:rsidR="00672552">
        <w:rPr>
          <w:rFonts w:ascii="Arial" w:hAnsi="Arial" w:cs="Arial"/>
        </w:rPr>
        <w:instrText xml:space="preserve"> ADDIN EN.CITE &lt;EndNote&gt;&lt;Cite AuthorYear="1"&gt;&lt;Author&gt;Carhart&lt;/Author&gt;&lt;Year&gt;1985&lt;/Year&gt;&lt;RecNum&gt;1063&lt;/RecNum&gt;&lt;DisplayText&gt;Carhart, Smith, and Venkataraghavan (1985)&lt;/DisplayText&gt;&lt;record&gt;&lt;rec-number&gt;1063&lt;/rec-number&gt;&lt;foreign-keys&gt;&lt;key app="EN" db-id="x2922pa5k2dxthexst355fze9fs9ssfv9txp" timestamp="1511747188"&gt;1063&lt;/key&gt;&lt;/foreign-keys&gt;&lt;ref-type name="Journal Article"&gt;17&lt;/ref-type&gt;&lt;contributors&gt;&lt;authors&gt;&lt;author&gt;Carhart, Raymond E.&lt;/author&gt;&lt;author&gt;Smith, Dennis H.&lt;/author&gt;&lt;author&gt;Venkataraghavan, R.&lt;/author&gt;&lt;/authors&gt;&lt;/contributors&gt;&lt;titles&gt;&lt;title&gt;Atom pairs as molecular features in structure-activity studies: definition and applications&lt;/title&gt;&lt;secondary-title&gt;Journal of Chemical Information and Modeling&lt;/secondary-title&gt;&lt;/titles&gt;&lt;periodical&gt;&lt;full-title&gt;Journal of Chemical Information and Modeling&lt;/full-title&gt;&lt;/periodical&gt;&lt;pages&gt;64-73&lt;/pages&gt;&lt;volume&gt;25&lt;/volume&gt;&lt;number&gt;2&lt;/number&gt;&lt;dates&gt;&lt;year&gt;1985&lt;/year&gt;&lt;/dates&gt;&lt;isbn&gt;1549-9596&lt;/isbn&gt;&lt;urls&gt;&lt;/urls&gt;&lt;electronic-resource-num&gt;10.1021/ci00046a002&lt;/electronic-resource-num&gt;&lt;/record&gt;&lt;/Cite&gt;&lt;/EndNote&gt;</w:instrText>
      </w:r>
      <w:r w:rsidR="00672552">
        <w:rPr>
          <w:rFonts w:ascii="Arial" w:hAnsi="Arial" w:cs="Arial"/>
        </w:rPr>
        <w:fldChar w:fldCharType="separate"/>
      </w:r>
      <w:r w:rsidR="00672552">
        <w:rPr>
          <w:rFonts w:ascii="Arial" w:hAnsi="Arial" w:cs="Arial"/>
          <w:noProof/>
        </w:rPr>
        <w:t>Carhart, Smith, and Venkataraghavan (1985)</w:t>
      </w:r>
      <w:r w:rsidR="00672552">
        <w:rPr>
          <w:rFonts w:ascii="Arial" w:hAnsi="Arial" w:cs="Arial"/>
        </w:rPr>
        <w:fldChar w:fldCharType="end"/>
      </w:r>
      <w:r w:rsidR="00E82B7D">
        <w:rPr>
          <w:rFonts w:ascii="Arial" w:hAnsi="Arial" w:cs="Arial"/>
        </w:rPr>
        <w:t xml:space="preserve">. </w:t>
      </w:r>
      <w:r w:rsidR="004204B1">
        <w:rPr>
          <w:rFonts w:ascii="Arial" w:hAnsi="Arial" w:cs="Arial"/>
        </w:rPr>
        <w:t xml:space="preserve">An atom pair is defined by the properties of each atom in a pair as well as the length of the shortest bond path between the atoms. The atom properties considered are the identity of each atom, the </w:t>
      </w:r>
      <w:r w:rsidR="00672552">
        <w:rPr>
          <w:rFonts w:ascii="Arial" w:hAnsi="Arial" w:cs="Arial"/>
        </w:rPr>
        <w:t xml:space="preserve">number of </w:t>
      </w:r>
      <w:r w:rsidR="00672552" w:rsidRPr="00672552">
        <w:rPr>
          <w:rFonts w:ascii="Arial" w:hAnsi="Arial" w:cs="Arial"/>
          <w:i/>
        </w:rPr>
        <w:t>π</w:t>
      </w:r>
      <w:r w:rsidR="00672552">
        <w:rPr>
          <w:rFonts w:ascii="Arial" w:hAnsi="Arial" w:cs="Arial"/>
        </w:rPr>
        <w:t xml:space="preserve"> electrons associated with each atom</w:t>
      </w:r>
      <w:r w:rsidR="004204B1">
        <w:rPr>
          <w:rFonts w:ascii="Arial" w:hAnsi="Arial" w:cs="Arial"/>
        </w:rPr>
        <w:t xml:space="preserve"> and</w:t>
      </w:r>
      <w:r w:rsidR="006258FE">
        <w:rPr>
          <w:rFonts w:ascii="Arial" w:hAnsi="Arial" w:cs="Arial"/>
        </w:rPr>
        <w:t xml:space="preserve"> the number of other atoms that are bonded to each atom (excluding hydrogens)</w:t>
      </w:r>
      <w:r w:rsidR="004204B1">
        <w:rPr>
          <w:rFonts w:ascii="Arial" w:hAnsi="Arial" w:cs="Arial"/>
        </w:rPr>
        <w:t>.</w:t>
      </w:r>
      <w:r w:rsidR="006354C8">
        <w:rPr>
          <w:rFonts w:ascii="Arial" w:hAnsi="Arial" w:cs="Arial"/>
        </w:rPr>
        <w:t xml:space="preserve"> </w:t>
      </w:r>
      <w:r w:rsidR="00C37282">
        <w:rPr>
          <w:rFonts w:ascii="Arial" w:hAnsi="Arial" w:cs="Arial"/>
        </w:rPr>
        <w:t>For metabolite</w:t>
      </w:r>
      <w:r w:rsidR="001B7D81">
        <w:rPr>
          <w:rFonts w:ascii="Arial" w:hAnsi="Arial" w:cs="Arial"/>
        </w:rPr>
        <w:t>s</w:t>
      </w:r>
      <w:r w:rsidR="00C37282">
        <w:rPr>
          <w:rFonts w:ascii="Arial" w:hAnsi="Arial" w:cs="Arial"/>
        </w:rPr>
        <w:t xml:space="preserve"> with </w:t>
      </w:r>
      <w:r w:rsidR="001B7D81">
        <w:rPr>
          <w:rFonts w:ascii="Arial" w:hAnsi="Arial" w:cs="Arial"/>
        </w:rPr>
        <w:t>PubChem annotation, SDF files were accessed and used to generate</w:t>
      </w:r>
      <w:r w:rsidR="009624E7">
        <w:rPr>
          <w:rFonts w:ascii="Arial" w:hAnsi="Arial" w:cs="Arial"/>
        </w:rPr>
        <w:t xml:space="preserve"> an</w:t>
      </w:r>
      <w:r w:rsidR="001B7D81">
        <w:rPr>
          <w:rFonts w:ascii="Arial" w:hAnsi="Arial" w:cs="Arial"/>
        </w:rPr>
        <w:t xml:space="preserve"> atom pair (AP)</w:t>
      </w:r>
      <w:r w:rsidR="009624E7">
        <w:rPr>
          <w:rFonts w:ascii="Arial" w:hAnsi="Arial" w:cs="Arial"/>
        </w:rPr>
        <w:t xml:space="preserve"> library.</w:t>
      </w:r>
      <w:r w:rsidR="007C40C0">
        <w:rPr>
          <w:rFonts w:ascii="Arial" w:hAnsi="Arial" w:cs="Arial"/>
        </w:rPr>
        <w:t xml:space="preserve"> The AP library and AP representation of identified metabolites were generated using </w:t>
      </w:r>
      <w:proofErr w:type="spellStart"/>
      <w:r w:rsidR="007C40C0">
        <w:rPr>
          <w:rFonts w:ascii="Arial" w:hAnsi="Arial" w:cs="Arial"/>
          <w:i/>
        </w:rPr>
        <w:t>ChemmineR</w:t>
      </w:r>
      <w:proofErr w:type="spellEnd"/>
      <w:r w:rsidR="00355941">
        <w:rPr>
          <w:rFonts w:ascii="Arial" w:hAnsi="Arial" w:cs="Arial"/>
          <w:i/>
        </w:rPr>
        <w:t xml:space="preserve"> </w:t>
      </w:r>
      <w:r w:rsidR="00355941">
        <w:rPr>
          <w:rFonts w:ascii="Arial" w:hAnsi="Arial" w:cs="Arial"/>
        </w:rPr>
        <w:t>version 2.28</w:t>
      </w:r>
      <w:r w:rsidR="000F2667">
        <w:rPr>
          <w:rFonts w:ascii="Arial" w:hAnsi="Arial" w:cs="Arial"/>
          <w:i/>
        </w:rPr>
        <w:t xml:space="preserve"> </w:t>
      </w:r>
      <w:r w:rsidR="00355941">
        <w:rPr>
          <w:rFonts w:ascii="Arial" w:hAnsi="Arial" w:cs="Arial"/>
        </w:rPr>
        <w:fldChar w:fldCharType="begin"/>
      </w:r>
      <w:r w:rsidR="00355941">
        <w:rPr>
          <w:rFonts w:ascii="Arial" w:hAnsi="Arial" w:cs="Arial"/>
        </w:rPr>
        <w:instrText xml:space="preserve"> ADDIN EN.CITE &lt;EndNote&gt;&lt;Cite&gt;&lt;Author&gt;Cao&lt;/Author&gt;&lt;Year&gt;2008&lt;/Year&gt;&lt;RecNum&gt;1064&lt;/RecNum&gt;&lt;DisplayText&gt;(Cao, Charisi, Cheng, Jiang, &amp;amp; Girke, 2008)&lt;/DisplayText&gt;&lt;record&gt;&lt;rec-number&gt;1064&lt;/rec-number&gt;&lt;foreign-keys&gt;&lt;key app="EN" db-id="x2922pa5k2dxthexst355fze9fs9ssfv9txp" timestamp="1511748697"&gt;1064&lt;/key&gt;&lt;/foreign-keys&gt;&lt;ref-type name="Journal Article"&gt;17&lt;/ref-type&gt;&lt;contributors&gt;&lt;authors&gt;&lt;author&gt;Cao, Y.&lt;/author&gt;&lt;author&gt;Charisi, A.&lt;/author&gt;&lt;author&gt;Cheng, L. C.&lt;/author&gt;&lt;author&gt;Jiang, T.&lt;/author&gt;&lt;author&gt;Girke, T.&lt;/author&gt;&lt;/authors&gt;&lt;/contributors&gt;&lt;titles&gt;&lt;title&gt;ChemmineR: a compound mining framework for R&lt;/title&gt;&lt;secondary-title&gt;Bioinformatics&lt;/secondary-title&gt;&lt;/titles&gt;&lt;periodical&gt;&lt;full-title&gt;Bioinformatics&lt;/full-title&gt;&lt;abbr-1&gt;Bioinformatics&lt;/abbr-1&gt;&lt;/periodical&gt;&lt;pages&gt;1733-1734&lt;/pages&gt;&lt;volume&gt;24&lt;/volume&gt;&lt;number&gt;15&lt;/number&gt;&lt;dates&gt;&lt;year&gt;2008&lt;/year&gt;&lt;/dates&gt;&lt;isbn&gt;1367-4803&amp;#xD;1460-2059&lt;/isbn&gt;&lt;urls&gt;&lt;/urls&gt;&lt;electronic-resource-num&gt;10.1093/bioinformatics/btn307&lt;/electronic-resource-num&gt;&lt;/record&gt;&lt;/Cite&gt;&lt;/EndNote&gt;</w:instrText>
      </w:r>
      <w:r w:rsidR="00355941">
        <w:rPr>
          <w:rFonts w:ascii="Arial" w:hAnsi="Arial" w:cs="Arial"/>
        </w:rPr>
        <w:fldChar w:fldCharType="separate"/>
      </w:r>
      <w:r w:rsidR="00355941">
        <w:rPr>
          <w:rFonts w:ascii="Arial" w:hAnsi="Arial" w:cs="Arial"/>
          <w:noProof/>
        </w:rPr>
        <w:t>(Cao, Charisi, Cheng, Jiang, &amp; Girke, 2008)</w:t>
      </w:r>
      <w:r w:rsidR="00355941">
        <w:rPr>
          <w:rFonts w:ascii="Arial" w:hAnsi="Arial" w:cs="Arial"/>
        </w:rPr>
        <w:fldChar w:fldCharType="end"/>
      </w:r>
      <w:r w:rsidR="007C40C0" w:rsidRPr="000F2667">
        <w:rPr>
          <w:rFonts w:ascii="Arial" w:hAnsi="Arial" w:cs="Arial"/>
        </w:rPr>
        <w:t>.</w:t>
      </w:r>
      <w:r w:rsidR="007C40C0">
        <w:rPr>
          <w:rFonts w:ascii="Arial" w:hAnsi="Arial" w:cs="Arial"/>
        </w:rPr>
        <w:t xml:space="preserve"> </w:t>
      </w:r>
      <w:r w:rsidR="00C60E41">
        <w:rPr>
          <w:rFonts w:ascii="Arial" w:hAnsi="Arial" w:cs="Arial"/>
        </w:rPr>
        <w:t xml:space="preserve">To determine structural similarity between </w:t>
      </w:r>
      <w:r w:rsidR="00CB6F41">
        <w:rPr>
          <w:rFonts w:ascii="Arial" w:hAnsi="Arial" w:cs="Arial"/>
        </w:rPr>
        <w:t xml:space="preserve">compound using AP representation, the </w:t>
      </w:r>
      <w:proofErr w:type="spellStart"/>
      <w:r w:rsidR="00CB6F41">
        <w:rPr>
          <w:rFonts w:ascii="Arial" w:hAnsi="Arial" w:cs="Arial"/>
        </w:rPr>
        <w:t>Tanimoto</w:t>
      </w:r>
      <w:proofErr w:type="spellEnd"/>
      <w:r w:rsidR="00CB6F41">
        <w:rPr>
          <w:rFonts w:ascii="Arial" w:hAnsi="Arial" w:cs="Arial"/>
        </w:rPr>
        <w:t xml:space="preserve"> coefficient between pairs of metabolites was computed, which is defined as</w:t>
      </w:r>
      <w:r w:rsidR="00380F9E">
        <w:rPr>
          <w:rFonts w:ascii="Arial" w:hAnsi="Arial" w:cs="Arial"/>
        </w:rPr>
        <w:t xml:space="preserve"> </w:t>
      </w:r>
      <w:r w:rsidR="00156B0C">
        <w:rPr>
          <w:rFonts w:ascii="Arial" w:hAnsi="Arial" w:cs="Arial"/>
        </w:rPr>
        <w:fldChar w:fldCharType="begin"/>
      </w:r>
      <w:r w:rsidR="00156B0C">
        <w:rPr>
          <w:rFonts w:ascii="Arial" w:hAnsi="Arial" w:cs="Arial"/>
        </w:rPr>
        <w:instrText xml:space="preserve"> ADDIN EN.CITE &lt;EndNote&gt;&lt;Cite&gt;&lt;Author&gt;Chen&lt;/Author&gt;&lt;Year&gt;2002&lt;/Year&gt;&lt;RecNum&gt;1058&lt;/RecNum&gt;&lt;DisplayText&gt;(Chen &amp;amp;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156B0C">
        <w:rPr>
          <w:rFonts w:ascii="Arial" w:hAnsi="Arial" w:cs="Arial"/>
        </w:rPr>
        <w:fldChar w:fldCharType="separate"/>
      </w:r>
      <w:r w:rsidR="00156B0C">
        <w:rPr>
          <w:rFonts w:ascii="Arial" w:hAnsi="Arial" w:cs="Arial"/>
          <w:noProof/>
        </w:rPr>
        <w:t>(Chen &amp; Reynolds, 2002)</w:t>
      </w:r>
      <w:r w:rsidR="00156B0C">
        <w:rPr>
          <w:rFonts w:ascii="Arial" w:hAnsi="Arial" w:cs="Arial"/>
        </w:rPr>
        <w:fldChar w:fldCharType="end"/>
      </w:r>
      <w:r w:rsidR="00CB6F41">
        <w:rPr>
          <w:rFonts w:ascii="Arial" w:hAnsi="Arial" w:cs="Arial"/>
        </w:rPr>
        <w:t>:</w:t>
      </w:r>
      <w:r w:rsidR="001F7BB7">
        <w:rPr>
          <w:rFonts w:ascii="Arial" w:hAnsi="Arial" w:cs="Arial"/>
        </w:rPr>
        <w:br/>
      </w:r>
      <m:oMathPara>
        <m:oMath>
          <m:r>
            <w:rPr>
              <w:rFonts w:ascii="Cambria Math" w:hAnsi="Cambria Math" w:cs="Arial"/>
            </w:rPr>
            <m:t>s</m:t>
          </m:r>
          <m:d>
            <m:dPr>
              <m:ctrlPr>
                <w:rPr>
                  <w:rFonts w:ascii="Cambria Math" w:hAnsi="Cambria Math" w:cs="Arial"/>
                  <w:i/>
                </w:rPr>
              </m:ctrlPr>
            </m:dPr>
            <m:e>
              <m:r>
                <w:rPr>
                  <w:rFonts w:ascii="Cambria Math" w:hAnsi="Cambria Math" w:cs="Arial"/>
                </w:rPr>
                <m:t>A,B</m:t>
              </m:r>
            </m:e>
          </m:d>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func>
                    <m:funcPr>
                      <m:ctrlPr>
                        <w:rPr>
                          <w:rFonts w:ascii="Cambria Math" w:hAnsi="Cambria Math" w:cs="Arial"/>
                          <w:i/>
                        </w:rPr>
                      </m:ctrlPr>
                    </m:funcPr>
                    <m:fName>
                      <m:r>
                        <m:rPr>
                          <m:sty m:val="p"/>
                        </m:rPr>
                        <w:rPr>
                          <w:rFonts w:ascii="Cambria Math" w:hAnsi="Cambria Math" w:cs="Arial"/>
                        </w:rPr>
                        <m:t>min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e>
                      </m:d>
                    </m:e>
                  </m:func>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func>
                        <m:funcPr>
                          <m:ctrlPr>
                            <w:rPr>
                              <w:rFonts w:ascii="Cambria Math" w:hAnsi="Cambria Math" w:cs="Arial"/>
                              <w:i/>
                            </w:rPr>
                          </m:ctrlPr>
                        </m:funcPr>
                        <m:fName>
                          <m:r>
                            <m:rPr>
                              <m:sty m:val="p"/>
                            </m:rPr>
                            <w:rPr>
                              <w:rFonts w:ascii="Cambria Math" w:hAnsi="Cambria Math" w:cs="Arial"/>
                            </w:rPr>
                            <m:t>min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e>
                          </m:d>
                        </m:e>
                      </m:func>
                    </m:e>
                  </m:nary>
                </m:e>
              </m:nary>
            </m:den>
          </m:f>
        </m:oMath>
      </m:oMathPara>
    </w:p>
    <w:p w:rsidR="00156B0C" w:rsidRDefault="00156B0C" w:rsidP="001F7BB7">
      <w:pPr>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d>
          <m:dPr>
            <m:ctrlPr>
              <w:rPr>
                <w:rFonts w:ascii="Cambria Math" w:eastAsiaTheme="minorEastAsia" w:hAnsi="Cambria Math" w:cs="Arial"/>
                <w:i/>
              </w:rPr>
            </m:ctrlPr>
          </m:dPr>
          <m:e>
            <m:r>
              <w:rPr>
                <w:rFonts w:ascii="Cambria Math" w:eastAsiaTheme="minorEastAsia" w:hAnsi="Cambria Math" w:cs="Arial"/>
              </w:rPr>
              <m:t>A</m:t>
            </m:r>
          </m:e>
        </m:d>
      </m:oMath>
      <w:r w:rsidR="007F4169">
        <w:rPr>
          <w:rFonts w:ascii="Arial" w:eastAsiaTheme="minorEastAsia" w:hAnsi="Arial" w:cs="Arial"/>
        </w:rPr>
        <w:t xml:space="preserve"> represents the count of unique atom pairs indexed by </w:t>
      </w:r>
      <m:oMath>
        <m:r>
          <w:rPr>
            <w:rFonts w:ascii="Cambria Math" w:eastAsiaTheme="minorEastAsia" w:hAnsi="Cambria Math" w:cs="Arial"/>
          </w:rPr>
          <m:t>i=1, 2, …, m</m:t>
        </m:r>
      </m:oMath>
      <w:r w:rsidR="007F4169">
        <w:rPr>
          <w:rFonts w:ascii="Arial" w:eastAsiaTheme="minorEastAsia" w:hAnsi="Arial" w:cs="Arial"/>
        </w:rPr>
        <w:t xml:space="preserve"> for molecule </w:t>
      </w:r>
      <m:oMath>
        <m:r>
          <w:rPr>
            <w:rFonts w:ascii="Cambria Math" w:eastAsiaTheme="minorEastAsia" w:hAnsi="Cambria Math" w:cs="Arial"/>
          </w:rPr>
          <m:t>A</m:t>
        </m:r>
      </m:oMath>
      <w:r w:rsidR="007F4169">
        <w:rPr>
          <w:rFonts w:ascii="Arial" w:eastAsiaTheme="minorEastAsia" w:hAnsi="Arial" w:cs="Arial"/>
        </w:rPr>
        <w:t xml:space="preserve">. </w:t>
      </w:r>
      <w:r w:rsidR="00FF2AC2">
        <w:rPr>
          <w:rFonts w:ascii="Arial" w:eastAsiaTheme="minorEastAsia" w:hAnsi="Arial" w:cs="Arial"/>
        </w:rPr>
        <w:t xml:space="preserve">The </w:t>
      </w:r>
      <w:proofErr w:type="spellStart"/>
      <w:r w:rsidR="00FF2AC2">
        <w:rPr>
          <w:rFonts w:ascii="Arial" w:eastAsiaTheme="minorEastAsia" w:hAnsi="Arial" w:cs="Arial"/>
        </w:rPr>
        <w:t>Tanimoto</w:t>
      </w:r>
      <w:proofErr w:type="spellEnd"/>
      <w:r w:rsidR="00FF2AC2">
        <w:rPr>
          <w:rFonts w:ascii="Arial" w:eastAsiaTheme="minorEastAsia" w:hAnsi="Arial" w:cs="Arial"/>
        </w:rPr>
        <w:t xml:space="preserve"> dissimilarity is then </w:t>
      </w: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=1-s</m:t>
        </m:r>
        <m:d>
          <m:dPr>
            <m:ctrlPr>
              <w:rPr>
                <w:rFonts w:ascii="Cambria Math" w:eastAsiaTheme="minorEastAsia" w:hAnsi="Cambria Math" w:cs="Arial"/>
                <w:i/>
              </w:rPr>
            </m:ctrlPr>
          </m:dPr>
          <m:e>
            <m:r>
              <w:rPr>
                <w:rFonts w:ascii="Cambria Math" w:eastAsiaTheme="minorEastAsia" w:hAnsi="Cambria Math" w:cs="Arial"/>
              </w:rPr>
              <m:t>A,B</m:t>
            </m:r>
          </m:e>
        </m:d>
      </m:oMath>
      <w:r w:rsidR="00FF2AC2">
        <w:rPr>
          <w:rFonts w:ascii="Arial" w:eastAsiaTheme="minorEastAsia" w:hAnsi="Arial" w:cs="Arial"/>
        </w:rPr>
        <w:t>.</w:t>
      </w:r>
      <w:r w:rsidR="007F4169">
        <w:rPr>
          <w:rFonts w:ascii="Arial" w:eastAsiaTheme="minorEastAsia" w:hAnsi="Arial" w:cs="Arial"/>
        </w:rPr>
        <w:t xml:space="preserve"> </w:t>
      </w:r>
    </w:p>
    <w:p w:rsidR="00612853" w:rsidRDefault="00612853" w:rsidP="00612853">
      <w:pPr>
        <w:jc w:val="center"/>
        <w:rPr>
          <w:rFonts w:ascii="Arial" w:eastAsiaTheme="minorEastAsia" w:hAnsi="Arial" w:cs="Arial"/>
        </w:rPr>
      </w:pPr>
      <w:r>
        <w:rPr>
          <w:rFonts w:ascii="Arial" w:hAnsi="Arial" w:cs="Arial"/>
          <w:noProof/>
        </w:rPr>
        <w:drawing>
          <wp:inline distT="0" distB="0" distL="0" distR="0" wp14:anchorId="02A91DD2" wp14:editId="2CE9AB66">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011D3B" w:rsidRPr="00AD7196" w:rsidRDefault="00011D3B" w:rsidP="00612853">
      <w:pPr>
        <w:jc w:val="center"/>
        <w:rPr>
          <w:rFonts w:ascii="Arial" w:eastAsiaTheme="minorEastAsia" w:hAnsi="Arial" w:cs="Arial"/>
          <w:sz w:val="18"/>
          <w:szCs w:val="18"/>
        </w:rPr>
      </w:pPr>
      <w:r w:rsidRPr="00AD7196">
        <w:rPr>
          <w:rFonts w:ascii="Arial" w:eastAsiaTheme="minorEastAsia" w:hAnsi="Arial" w:cs="Arial"/>
          <w:b/>
          <w:i/>
          <w:sz w:val="18"/>
          <w:szCs w:val="18"/>
        </w:rPr>
        <w:t>Figure 1</w:t>
      </w:r>
      <w:r w:rsidRPr="00AD7196">
        <w:rPr>
          <w:rFonts w:ascii="Arial" w:eastAsiaTheme="minorEastAsia" w:hAnsi="Arial" w:cs="Arial"/>
          <w:b/>
          <w:sz w:val="18"/>
          <w:szCs w:val="18"/>
        </w:rPr>
        <w:t xml:space="preserve">: </w:t>
      </w:r>
      <w:r w:rsidRPr="00AD7196">
        <w:rPr>
          <w:rFonts w:ascii="Arial" w:eastAsiaTheme="minorEastAsia" w:hAnsi="Arial" w:cs="Arial"/>
          <w:sz w:val="18"/>
          <w:szCs w:val="18"/>
        </w:rPr>
        <w:t xml:space="preserve">Theoretical relationship between the structural dissimilarity (defined as the </w:t>
      </w:r>
      <w:proofErr w:type="spellStart"/>
      <w:r w:rsidRPr="00AD7196">
        <w:rPr>
          <w:rFonts w:ascii="Arial" w:eastAsiaTheme="minorEastAsia" w:hAnsi="Arial" w:cs="Arial"/>
          <w:sz w:val="18"/>
          <w:szCs w:val="18"/>
        </w:rPr>
        <w:t>Tanimoto</w:t>
      </w:r>
      <w:proofErr w:type="spellEnd"/>
      <w:r w:rsidRPr="00AD7196">
        <w:rPr>
          <w:rFonts w:ascii="Arial" w:eastAsiaTheme="minorEastAsia" w:hAnsi="Arial" w:cs="Arial"/>
          <w:sz w:val="18"/>
          <w:szCs w:val="18"/>
        </w:rPr>
        <w:t xml:space="preserve"> dissimilarity) of two metabolites and the expected value of the adaptive shrinkage parameter </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λ</m:t>
            </m:r>
          </m:e>
          <m:sub>
            <m:r>
              <w:rPr>
                <w:rFonts w:ascii="Cambria Math" w:eastAsiaTheme="minorEastAsia" w:hAnsi="Cambria Math" w:cs="Arial"/>
                <w:sz w:val="18"/>
                <w:szCs w:val="18"/>
              </w:rPr>
              <m:t>ij</m:t>
            </m:r>
          </m:sub>
        </m:sSub>
      </m:oMath>
      <w:r w:rsidR="002901ED" w:rsidRPr="00AD7196">
        <w:rPr>
          <w:rFonts w:ascii="Arial" w:eastAsiaTheme="minorEastAsia" w:hAnsi="Arial" w:cs="Arial"/>
          <w:sz w:val="18"/>
          <w:szCs w:val="18"/>
        </w:rPr>
        <w:t xml:space="preserve">. </w:t>
      </w:r>
    </w:p>
    <w:p w:rsidR="001F7BB7" w:rsidRPr="007C40C0" w:rsidRDefault="00C9546C" w:rsidP="00095E00">
      <w:pPr>
        <w:jc w:val="both"/>
        <w:rPr>
          <w:rFonts w:ascii="Arial" w:hAnsi="Arial" w:cs="Arial"/>
        </w:rPr>
      </w:pPr>
      <w:r>
        <w:rPr>
          <w:rFonts w:ascii="Arial" w:hAnsi="Arial" w:cs="Arial"/>
        </w:rPr>
        <w:t xml:space="preserve">After determining the </w:t>
      </w:r>
      <w:proofErr w:type="spellStart"/>
      <w:r>
        <w:rPr>
          <w:rFonts w:ascii="Arial" w:hAnsi="Arial" w:cs="Arial"/>
        </w:rPr>
        <w:t>Tanimoto</w:t>
      </w:r>
      <w:proofErr w:type="spellEnd"/>
      <w:r>
        <w:rPr>
          <w:rFonts w:ascii="Arial" w:hAnsi="Arial" w:cs="Arial"/>
        </w:rPr>
        <w:t xml:space="preserve"> dissimilarity between each pair of metabolites, th</w:t>
      </w:r>
      <w:bookmarkStart w:id="2" w:name="_GoBack"/>
      <w:bookmarkEnd w:id="2"/>
      <w:r>
        <w:rPr>
          <w:rFonts w:ascii="Arial" w:hAnsi="Arial" w:cs="Arial"/>
        </w:rPr>
        <w:t xml:space="preserve">e gamma </w:t>
      </w:r>
      <w:r w:rsidR="00773376">
        <w:rPr>
          <w:rFonts w:ascii="Arial" w:hAnsi="Arial" w:cs="Arial"/>
        </w:rPr>
        <w:t>hyperprior distribution</w:t>
      </w:r>
      <w:r>
        <w:rPr>
          <w:rFonts w:ascii="Arial" w:hAnsi="Arial" w:cs="Arial"/>
        </w:rPr>
        <w:t xml:space="preserve"> for the shrinkage parameter </w:t>
      </w:r>
      <m:oMath>
        <m:r>
          <w:rPr>
            <w:rFonts w:ascii="Cambria Math" w:hAnsi="Cambria Math" w:cs="Arial"/>
          </w:rPr>
          <m:t>λ</m:t>
        </m:r>
      </m:oMath>
      <w:r>
        <w:rPr>
          <w:rFonts w:ascii="Arial" w:eastAsiaTheme="minorEastAsia" w:hAnsi="Arial" w:cs="Arial"/>
        </w:rPr>
        <w:t xml:space="preserve"> can be determined </w:t>
      </w:r>
      <w:r w:rsidR="00B12F43">
        <w:rPr>
          <w:rFonts w:ascii="Arial" w:eastAsiaTheme="minorEastAsia" w:hAnsi="Arial" w:cs="Arial"/>
        </w:rPr>
        <w:t xml:space="preserve">by linking the gamma distribution shape to </w:t>
      </w:r>
      <w:r w:rsidR="00773376">
        <w:rPr>
          <w:rFonts w:ascii="Arial" w:eastAsiaTheme="minorEastAsia" w:hAnsi="Arial" w:cs="Arial"/>
        </w:rPr>
        <w:lastRenderedPageBreak/>
        <w:t xml:space="preserve">the dissimilarity, that is by setting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ij</m:t>
            </m:r>
          </m:sub>
        </m:sSub>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i,j</m:t>
                </m:r>
              </m:e>
            </m:d>
          </m:e>
        </m:d>
      </m:oMath>
      <w:r w:rsidR="00773376">
        <w:rPr>
          <w:rFonts w:ascii="Arial" w:eastAsiaTheme="minorEastAsia" w:hAnsi="Arial" w:cs="Arial"/>
        </w:rPr>
        <w:t xml:space="preserve"> where </w:t>
      </w:r>
      <m:oMath>
        <m:r>
          <w:rPr>
            <w:rFonts w:ascii="Cambria Math" w:eastAsiaTheme="minorEastAsia" w:hAnsi="Cambria Math" w:cs="Arial"/>
          </w:rPr>
          <m:t>i,j</m:t>
        </m:r>
      </m:oMath>
      <w:r w:rsidR="00773376">
        <w:rPr>
          <w:rFonts w:ascii="Arial" w:eastAsiaTheme="minorEastAsia" w:hAnsi="Arial" w:cs="Arial"/>
        </w:rPr>
        <w:t xml:space="preserve"> index metabolites and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oMath>
      <w:r w:rsidR="00773376">
        <w:rPr>
          <w:rFonts w:ascii="Arial" w:eastAsiaTheme="minorEastAsia" w:hAnsi="Arial" w:cs="Arial"/>
        </w:rPr>
        <w:t xml:space="preserve"> is a monotonic function.</w:t>
      </w:r>
      <w:r w:rsidR="002901ED">
        <w:rPr>
          <w:rFonts w:ascii="Arial" w:eastAsiaTheme="minorEastAsia" w:hAnsi="Arial" w:cs="Arial"/>
        </w:rPr>
        <w:t xml:space="preserve"> T</w:t>
      </w:r>
      <w:r w:rsidR="002901ED">
        <w:rPr>
          <w:rFonts w:ascii="Arial" w:eastAsiaTheme="minorEastAsia" w:hAnsi="Arial" w:cs="Arial"/>
        </w:rPr>
        <w:t xml:space="preserve">he conditional distribution of the shrinkage parameter is then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m:t>
        </m:r>
        <m:r>
          <m:rPr>
            <m:sty m:val="b"/>
          </m:rPr>
          <w:rPr>
            <w:rFonts w:ascii="Cambria Math" w:eastAsiaTheme="minorEastAsia" w:hAnsi="Cambria Math" w:cs="Arial"/>
          </w:rPr>
          <m:t>Ω</m:t>
        </m:r>
        <m:r>
          <w:rPr>
            <w:rFonts w:ascii="Cambria Math" w:eastAsiaTheme="minorEastAsia" w:hAnsi="Cambria Math" w:cs="Arial"/>
          </w:rPr>
          <m:t>~</m:t>
        </m:r>
        <m:r>
          <m:rPr>
            <m:sty m:val="p"/>
          </m:rPr>
          <w:rPr>
            <w:rFonts w:ascii="Cambria Math" w:eastAsiaTheme="minorEastAsia" w:hAnsi="Cambria Math" w:cs="Arial"/>
          </w:rPr>
          <m:t>GA</m:t>
        </m:r>
        <m:d>
          <m:dPr>
            <m:ctrlPr>
              <w:rPr>
                <w:rFonts w:ascii="Cambria Math" w:eastAsiaTheme="minorEastAsia" w:hAnsi="Cambria Math" w:cs="Arial"/>
                <w:i/>
              </w:rPr>
            </m:ctrlPr>
          </m:dPr>
          <m:e>
            <m:r>
              <w:rPr>
                <w:rFonts w:ascii="Cambria Math" w:eastAsiaTheme="minorEastAsia" w:hAnsi="Cambria Math" w:cs="Arial"/>
              </w:rPr>
              <m:t>1+f</m:t>
            </m:r>
            <m:d>
              <m:dPr>
                <m:ctrlPr>
                  <w:rPr>
                    <w:rFonts w:ascii="Cambria Math" w:eastAsiaTheme="minorEastAsia" w:hAnsi="Cambria Math" w:cs="Arial"/>
                    <w:i/>
                  </w:rPr>
                </m:ctrlPr>
              </m:dPr>
              <m:e>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i,j</m:t>
                    </m:r>
                  </m:e>
                </m:d>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r>
              <w:rPr>
                <w:rFonts w:ascii="Cambria Math" w:eastAsiaTheme="minorEastAsia" w:hAnsi="Cambria Math" w:cs="Arial"/>
              </w:rPr>
              <m:t>|+s</m:t>
            </m:r>
          </m:e>
        </m:d>
      </m:oMath>
      <w:r w:rsidR="002901ED">
        <w:rPr>
          <w:rFonts w:ascii="Arial" w:eastAsiaTheme="minorEastAsia" w:hAnsi="Arial" w:cs="Arial"/>
        </w:rPr>
        <w:t>.</w:t>
      </w:r>
      <w:r w:rsidR="00011D3B">
        <w:rPr>
          <w:rFonts w:ascii="Arial" w:eastAsiaTheme="minorEastAsia" w:hAnsi="Arial" w:cs="Arial"/>
        </w:rPr>
        <w:t xml:space="preserve"> </w:t>
      </w:r>
      <w:r w:rsidR="00EC5A3E">
        <w:rPr>
          <w:rFonts w:ascii="Arial" w:eastAsiaTheme="minorEastAsia" w:hAnsi="Arial" w:cs="Arial"/>
        </w:rPr>
        <w:t xml:space="preserve">A plot of the </w:t>
      </w:r>
      <w:r w:rsidR="002901ED">
        <w:rPr>
          <w:rFonts w:ascii="Arial" w:eastAsiaTheme="minorEastAsia" w:hAnsi="Arial" w:cs="Arial"/>
        </w:rPr>
        <w:t xml:space="preserve">relationship between </w:t>
      </w:r>
      <w:r w:rsidR="00AD7196">
        <w:rPr>
          <w:rFonts w:ascii="Arial" w:eastAsiaTheme="minorEastAsia" w:hAnsi="Arial" w:cs="Arial"/>
        </w:rPr>
        <w:t xml:space="preserve">the structural similarity of two hypothetical metabolites and the expected value of the shrinkage parameter is shown in Figure 1. </w:t>
      </w:r>
    </w:p>
    <w:p w:rsidR="004F248C" w:rsidRDefault="004F248C" w:rsidP="00095E00">
      <w:pPr>
        <w:pStyle w:val="ListParagraph"/>
        <w:numPr>
          <w:ilvl w:val="1"/>
          <w:numId w:val="3"/>
        </w:numPr>
        <w:jc w:val="both"/>
        <w:rPr>
          <w:rFonts w:ascii="Arial" w:hAnsi="Arial" w:cs="Arial"/>
        </w:rPr>
      </w:pPr>
      <w:r>
        <w:rPr>
          <w:rFonts w:ascii="Arial" w:hAnsi="Arial" w:cs="Arial"/>
        </w:rPr>
        <w:t>Posterior inference of model parameters</w:t>
      </w:r>
    </w:p>
    <w:p w:rsidR="00C77E49" w:rsidRPr="00C77E49" w:rsidRDefault="00C77E49" w:rsidP="00095E00">
      <w:pPr>
        <w:jc w:val="both"/>
        <w:rPr>
          <w:rFonts w:ascii="Arial" w:hAnsi="Arial" w:cs="Arial"/>
        </w:rPr>
      </w:pPr>
      <w:r>
        <w:rPr>
          <w:rFonts w:ascii="Arial" w:hAnsi="Arial" w:cs="Arial"/>
        </w:rPr>
        <w:t>[</w:t>
      </w:r>
      <w:r w:rsidRPr="00C77E49">
        <w:rPr>
          <w:rFonts w:ascii="Arial" w:hAnsi="Arial" w:cs="Arial"/>
          <w:highlight w:val="yellow"/>
        </w:rPr>
        <w:t>LOH</w:t>
      </w:r>
      <w:r>
        <w:rPr>
          <w:rFonts w:ascii="Arial" w:hAnsi="Arial" w:cs="Arial"/>
        </w:rPr>
        <w:t>]</w:t>
      </w:r>
    </w:p>
    <w:p w:rsidR="004F248C" w:rsidRDefault="00331611" w:rsidP="00095E00">
      <w:pPr>
        <w:pStyle w:val="ListParagraph"/>
        <w:numPr>
          <w:ilvl w:val="1"/>
          <w:numId w:val="3"/>
        </w:numPr>
        <w:jc w:val="both"/>
        <w:rPr>
          <w:rFonts w:ascii="Arial" w:hAnsi="Arial" w:cs="Arial"/>
        </w:rPr>
      </w:pPr>
      <w:r>
        <w:rPr>
          <w:rFonts w:ascii="Arial" w:hAnsi="Arial" w:cs="Arial"/>
        </w:rPr>
        <w:t>Efficacy analysis via simulation studies</w:t>
      </w:r>
    </w:p>
    <w:p w:rsidR="00E242DA" w:rsidRPr="00E242DA" w:rsidRDefault="00E242DA" w:rsidP="00095E00">
      <w:pPr>
        <w:jc w:val="both"/>
        <w:rPr>
          <w:rFonts w:ascii="Arial" w:hAnsi="Arial" w:cs="Arial"/>
        </w:rPr>
      </w:pPr>
      <w:r>
        <w:rPr>
          <w:rFonts w:ascii="Arial" w:hAnsi="Arial" w:cs="Arial"/>
        </w:rPr>
        <w:t>To evaluate the efficacy of the proposed method, we employed ex</w:t>
      </w:r>
      <w:r w:rsidR="00181749">
        <w:rPr>
          <w:rFonts w:ascii="Arial" w:hAnsi="Arial" w:cs="Arial"/>
        </w:rPr>
        <w:t xml:space="preserve">tensive simulation studies. Two </w:t>
      </w:r>
      <w:r>
        <w:rPr>
          <w:rFonts w:ascii="Arial" w:hAnsi="Arial" w:cs="Arial"/>
        </w:rPr>
        <w:t xml:space="preserve">simulation study </w:t>
      </w:r>
      <w:proofErr w:type="gramStart"/>
      <w:r>
        <w:rPr>
          <w:rFonts w:ascii="Arial" w:hAnsi="Arial" w:cs="Arial"/>
        </w:rPr>
        <w:t>schema</w:t>
      </w:r>
      <w:proofErr w:type="gramEnd"/>
      <w:r>
        <w:rPr>
          <w:rFonts w:ascii="Arial" w:hAnsi="Arial" w:cs="Arial"/>
        </w:rPr>
        <w:t xml:space="preserve"> were employed. </w:t>
      </w:r>
      <w:bookmarkStart w:id="3" w:name="_Hlk498200615"/>
      <w:r>
        <w:rPr>
          <w:rFonts w:ascii="Arial" w:hAnsi="Arial" w:cs="Arial"/>
        </w:rPr>
        <w:t>Under the first schema</w:t>
      </w:r>
      <w:r w:rsidR="00181749">
        <w:rPr>
          <w:rFonts w:ascii="Arial" w:hAnsi="Arial" w:cs="Arial"/>
        </w:rPr>
        <w:t>, a simple</w:t>
      </w:r>
      <w:r w:rsidR="00570072">
        <w:rPr>
          <w:rFonts w:ascii="Arial" w:hAnsi="Arial" w:cs="Arial"/>
        </w:rPr>
        <w:t xml:space="preserve"> </w:t>
      </w:r>
      <w:proofErr w:type="gramStart"/>
      <w:r w:rsidR="00570072">
        <w:rPr>
          <w:rFonts w:ascii="Arial" w:hAnsi="Arial" w:cs="Arial"/>
        </w:rPr>
        <w:t>AR(</w:t>
      </w:r>
      <w:proofErr w:type="gramEnd"/>
      <w:r w:rsidR="00570072">
        <w:rPr>
          <w:rFonts w:ascii="Arial" w:hAnsi="Arial" w:cs="Arial"/>
        </w:rPr>
        <w:t>1) process</w:t>
      </w:r>
      <w:r w:rsidR="00181749">
        <w:rPr>
          <w:rFonts w:ascii="Arial" w:hAnsi="Arial" w:cs="Arial"/>
        </w:rPr>
        <w:t xml:space="preserve"> </w:t>
      </w:r>
      <w:r w:rsidR="00570072">
        <w:rPr>
          <w:rFonts w:ascii="Arial" w:hAnsi="Arial" w:cs="Arial"/>
        </w:rPr>
        <w:t>(</w:t>
      </w:r>
      <w:r w:rsidR="00181749">
        <w:rPr>
          <w:rFonts w:ascii="Arial" w:hAnsi="Arial" w:cs="Arial"/>
        </w:rPr>
        <w:t xml:space="preserve">autoregressive </w:t>
      </w:r>
      <w:r w:rsidR="00570072">
        <w:rPr>
          <w:rFonts w:ascii="Arial" w:hAnsi="Arial" w:cs="Arial"/>
        </w:rPr>
        <w:t>process</w:t>
      </w:r>
      <w:r w:rsidR="00181749">
        <w:rPr>
          <w:rFonts w:ascii="Arial" w:hAnsi="Arial" w:cs="Arial"/>
        </w:rPr>
        <w:t xml:space="preserve"> of order </w:t>
      </w:r>
      <w:r w:rsidR="00A22EAB">
        <w:rPr>
          <w:rFonts w:ascii="Arial" w:hAnsi="Arial" w:cs="Arial"/>
        </w:rPr>
        <w:t>1</w:t>
      </w:r>
      <w:r w:rsidR="00570072">
        <w:rPr>
          <w:rFonts w:ascii="Arial" w:hAnsi="Arial" w:cs="Arial"/>
        </w:rPr>
        <w:t>)</w:t>
      </w:r>
      <w:r w:rsidR="00A22EAB">
        <w:rPr>
          <w:rFonts w:ascii="Arial" w:hAnsi="Arial" w:cs="Arial"/>
        </w:rPr>
        <w:t xml:space="preserve"> was</w:t>
      </w:r>
      <w:r w:rsidR="00181749">
        <w:rPr>
          <w:rFonts w:ascii="Arial" w:hAnsi="Arial" w:cs="Arial"/>
        </w:rPr>
        <w:t xml:space="preserve"> </w:t>
      </w:r>
      <w:r w:rsidR="00570072">
        <w:rPr>
          <w:rFonts w:ascii="Arial" w:hAnsi="Arial" w:cs="Arial"/>
        </w:rPr>
        <w:t>simulated for</w:t>
      </w:r>
      <w:r w:rsidR="00181749">
        <w:rPr>
          <w:rFonts w:ascii="Arial" w:hAnsi="Arial" w:cs="Arial"/>
        </w:rPr>
        <w:t xml:space="preserve"> </w:t>
      </w:r>
      <w:r w:rsidR="00570072">
        <w:rPr>
          <w:rFonts w:ascii="Arial" w:hAnsi="Arial" w:cs="Arial"/>
        </w:rPr>
        <w:t>representing</w:t>
      </w:r>
      <w:r w:rsidR="00181749">
        <w:rPr>
          <w:rFonts w:ascii="Arial" w:hAnsi="Arial" w:cs="Arial"/>
        </w:rPr>
        <w:t xml:space="preserve"> a linear biological process in which the correlation between simulated metabolites </w:t>
      </w:r>
      <w:r w:rsidR="00A22EAB">
        <w:rPr>
          <w:rFonts w:ascii="Arial" w:hAnsi="Arial" w:cs="Arial"/>
        </w:rPr>
        <w:t>decreased</w:t>
      </w:r>
      <w:r w:rsidR="00181749">
        <w:rPr>
          <w:rFonts w:ascii="Arial" w:hAnsi="Arial" w:cs="Arial"/>
        </w:rPr>
        <w:t xml:space="preserve"> in tandem with decreasing structural similarity. </w:t>
      </w:r>
      <w:r w:rsidR="00A22EAB">
        <w:rPr>
          <w:rFonts w:ascii="Arial" w:hAnsi="Arial" w:cs="Arial"/>
        </w:rPr>
        <w:t xml:space="preserve">Under the second schema, metabolomics data collected previously </w:t>
      </w:r>
      <w:r w:rsidR="00CE16C2">
        <w:rPr>
          <w:rFonts w:ascii="Arial" w:hAnsi="Arial" w:cs="Arial"/>
        </w:rPr>
        <w:t xml:space="preserve">was utilized </w:t>
      </w:r>
      <w:r w:rsidR="00D66A3D">
        <w:rPr>
          <w:rFonts w:ascii="Arial" w:hAnsi="Arial" w:cs="Arial"/>
        </w:rPr>
        <w:t xml:space="preserve">with simulated metabolites “spiked-in”. </w:t>
      </w:r>
      <w:r w:rsidR="00570072">
        <w:rPr>
          <w:rFonts w:ascii="Arial" w:hAnsi="Arial" w:cs="Arial"/>
        </w:rPr>
        <w:t xml:space="preserve">The spiked-in simulated metabolites were simulated via a hierarchical model in which structural similarity was simulated first, followed by abundance distributions in which the correlation between abundances increased with structural similarity. </w:t>
      </w:r>
    </w:p>
    <w:bookmarkEnd w:id="3"/>
    <w:p w:rsidR="008714CF" w:rsidRDefault="00331611" w:rsidP="00095E00">
      <w:pPr>
        <w:pStyle w:val="ListParagraph"/>
        <w:numPr>
          <w:ilvl w:val="1"/>
          <w:numId w:val="3"/>
        </w:numPr>
        <w:jc w:val="both"/>
        <w:rPr>
          <w:rFonts w:ascii="Arial" w:hAnsi="Arial" w:cs="Arial"/>
        </w:rPr>
      </w:pPr>
      <w:r>
        <w:rPr>
          <w:rFonts w:ascii="Arial" w:hAnsi="Arial" w:cs="Arial"/>
        </w:rPr>
        <w:t>A plasma interactome for stable heart disease</w:t>
      </w:r>
    </w:p>
    <w:p w:rsidR="008714CF" w:rsidRDefault="008714CF" w:rsidP="00095E00">
      <w:pPr>
        <w:jc w:val="both"/>
        <w:rPr>
          <w:rFonts w:ascii="Arial" w:hAnsi="Arial" w:cs="Arial"/>
        </w:rPr>
      </w:pPr>
      <w:r>
        <w:rPr>
          <w:rFonts w:ascii="Arial" w:hAnsi="Arial" w:cs="Arial"/>
        </w:rPr>
        <w:t>Heart disease</w:t>
      </w:r>
      <w:r w:rsidR="00B36812">
        <w:rPr>
          <w:rFonts w:ascii="Arial" w:hAnsi="Arial" w:cs="Arial"/>
        </w:rPr>
        <w:t xml:space="preserve"> is the most prevalent </w:t>
      </w:r>
      <w:r w:rsidR="006B1973">
        <w:rPr>
          <w:rFonts w:ascii="Arial" w:hAnsi="Arial" w:cs="Arial"/>
        </w:rPr>
        <w:t>cause of death</w:t>
      </w:r>
      <w:r w:rsidR="00B36812">
        <w:rPr>
          <w:rFonts w:ascii="Arial" w:hAnsi="Arial" w:cs="Arial"/>
        </w:rPr>
        <w:t xml:space="preserve"> globally</w:t>
      </w:r>
      <w:r w:rsidR="00C43C3D">
        <w:rPr>
          <w:rFonts w:ascii="Arial" w:hAnsi="Arial" w:cs="Arial"/>
        </w:rPr>
        <w:t xml:space="preserve"> </w: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 </w:instrTex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EN.CITE.DATA </w:instrText>
      </w:r>
      <w:r w:rsidR="00C330EB">
        <w:rPr>
          <w:rFonts w:ascii="Arial" w:hAnsi="Arial" w:cs="Arial"/>
        </w:rPr>
      </w:r>
      <w:r w:rsidR="00C330EB">
        <w:rPr>
          <w:rFonts w:ascii="Arial" w:hAnsi="Arial" w:cs="Arial"/>
        </w:rPr>
        <w:fldChar w:fldCharType="end"/>
      </w:r>
      <w:r w:rsidR="00C330EB">
        <w:rPr>
          <w:rFonts w:ascii="Arial" w:hAnsi="Arial" w:cs="Arial"/>
        </w:rPr>
      </w:r>
      <w:r w:rsidR="00C330EB">
        <w:rPr>
          <w:rFonts w:ascii="Arial" w:hAnsi="Arial" w:cs="Arial"/>
        </w:rPr>
        <w:fldChar w:fldCharType="separate"/>
      </w:r>
      <w:r w:rsidR="00C330EB">
        <w:rPr>
          <w:rFonts w:ascii="Arial" w:hAnsi="Arial" w:cs="Arial"/>
          <w:noProof/>
        </w:rPr>
        <w:t>(Benjamin et al., 2017)</w:t>
      </w:r>
      <w:r w:rsidR="00C330EB">
        <w:rPr>
          <w:rFonts w:ascii="Arial" w:hAnsi="Arial" w:cs="Arial"/>
        </w:rPr>
        <w:fldChar w:fldCharType="end"/>
      </w:r>
      <w:r w:rsidR="00B36812">
        <w:rPr>
          <w:rFonts w:ascii="Arial" w:hAnsi="Arial" w:cs="Arial"/>
        </w:rPr>
        <w:t xml:space="preserve">. </w:t>
      </w:r>
      <w:r w:rsidR="005E6A22">
        <w:rPr>
          <w:rFonts w:ascii="Arial" w:hAnsi="Arial" w:cs="Arial"/>
        </w:rPr>
        <w:t>As a disease</w:t>
      </w:r>
      <w:r w:rsidR="00363925">
        <w:rPr>
          <w:rFonts w:ascii="Arial" w:hAnsi="Arial" w:cs="Arial"/>
        </w:rPr>
        <w:t>, heart disease does not represent a uniform condition, but rather a collection of diseases of varying etiolog</w:t>
      </w:r>
      <w:r w:rsidR="001A6D5C">
        <w:rPr>
          <w:rFonts w:ascii="Arial" w:hAnsi="Arial" w:cs="Arial"/>
        </w:rPr>
        <w:t>ies</w:t>
      </w:r>
      <w:r w:rsidR="00383162">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&lt;EndNote&gt;&lt;Cite&gt;&lt;Author&gt;Kasper&lt;/Author&gt;&lt;Year&gt;2015&lt;/Year&gt;&lt;RecNum&gt;1061&lt;/RecNum&gt;&lt;DisplayText&gt;(Kasper, 2015)&lt;/DisplayText&gt;&lt;record&gt;&lt;rec-number&gt;1061&lt;/rec-number&gt;&lt;foreign-keys&gt;&lt;key app="EN" db-id="x2922pa5k2dxthexst355fze9fs9ssfv9txp" timestamp="1511467888"&gt;1061&lt;/key&gt;&lt;/foreign-keys&gt;&lt;ref-type name="Book"&gt;6&lt;/ref-type&gt;&lt;contributors&gt;&lt;authors&gt;&lt;author&gt;Kasper, Dennis L.&lt;/author&gt;&lt;/authors&gt;&lt;/contributors&gt;&lt;titles&gt;&lt;title&gt;Harrison&amp;apos;s principles of internal medicine&lt;/title&gt;&lt;/titles&gt;&lt;pages&gt;1 volume (various pagings)&lt;/pages&gt;&lt;edition&gt;19th edition / editors, Dennis L. Kasper, MD, William Ellery Channing, Professor of Medicine, Professor of Microbiology, Department of Microbiology and Immunobiology, Harvard Medical School, Division of Infectious Diseases, Brigham and Women&amp;apos;s Hospital, Boston, Massachusetts and five others .&lt;/edition&gt;&lt;keywords&gt;&lt;keyword&gt;Internal Medicine.&lt;/keyword&gt;&lt;/keywords&gt;&lt;dates&gt;&lt;year&gt;2015&lt;/year&gt;&lt;/dates&gt;&lt;pub-location&gt;New York&lt;/pub-location&gt;&lt;publisher&gt;McGraw Hill Education&lt;/publisher&gt;&lt;isbn&gt;9780071802154 (hbk. two-volume set)&amp;#xD;0071802150 (hbk. two-volume set)&amp;#xD;9780071802130 (hbk. volume 1)&amp;#xD;0071802134 (hbk. volume 1)&amp;#xD;9780071802161 (e-book)&amp;#xD;0071802169 (e-book)&lt;/isbn&gt;&lt;accession-num&gt;18339980&lt;/accession-num&gt;&lt;call-num&gt;RC46 .H32 2015&lt;/call-num&gt;&lt;urls&gt;&lt;/urls&gt;&lt;/record&gt;&lt;/Cite&gt;&lt;/EndNote&gt;</w:instrText>
      </w:r>
      <w:r w:rsidR="00C330EB">
        <w:rPr>
          <w:rFonts w:ascii="Arial" w:hAnsi="Arial" w:cs="Arial"/>
        </w:rPr>
        <w:fldChar w:fldCharType="separate"/>
      </w:r>
      <w:r w:rsidR="00C330EB">
        <w:rPr>
          <w:rFonts w:ascii="Arial" w:hAnsi="Arial" w:cs="Arial"/>
          <w:noProof/>
        </w:rPr>
        <w:t>(Kasper, 2015)</w:t>
      </w:r>
      <w:r w:rsidR="00C330EB">
        <w:rPr>
          <w:rFonts w:ascii="Arial" w:hAnsi="Arial" w:cs="Arial"/>
        </w:rPr>
        <w:fldChar w:fldCharType="end"/>
      </w:r>
      <w:r w:rsidR="00363925">
        <w:rPr>
          <w:rFonts w:ascii="Arial" w:hAnsi="Arial" w:cs="Arial"/>
        </w:rPr>
        <w:t xml:space="preserve">. </w:t>
      </w:r>
      <w:r w:rsidR="001A6D5C">
        <w:rPr>
          <w:rFonts w:ascii="Arial" w:hAnsi="Arial" w:cs="Arial"/>
        </w:rPr>
        <w:t>Of particular interest in the study of coronary artery disease (CAD) is the elucidation of the precipitants of acute disease events such as myocardial infarction</w:t>
      </w:r>
      <w:r w:rsidR="00BB54AD">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&lt;EndNote&gt;&lt;Cite&gt;&lt;Author&gt;Arbab-Zadeh&lt;/Author&gt;&lt;Year&gt;2015&lt;/Year&gt;&lt;RecNum&gt;1062&lt;/RecNum&gt;&lt;DisplayText&gt;(Arbab-Zadeh &amp;amp; Fuster, 2015)&lt;/DisplayText&gt;&lt;record&gt;&lt;rec-number&gt;1062&lt;/rec-number&gt;&lt;foreign-keys&gt;&lt;key app="EN" db-id="x2922pa5k2dxthexst355fze9fs9ssfv9txp" timestamp="1511468755"&gt;1062&lt;/key&gt;&lt;/foreign-keys&gt;&lt;ref-type name="Journal Article"&gt;17&lt;/ref-type&gt;&lt;contributors&gt;&lt;authors&gt;&lt;author&gt;Arbab-Zadeh, Armin&lt;/author&gt;&lt;author&gt;Fuster, Valentin&lt;/author&gt;&lt;/authors&gt;&lt;/contributors&gt;&lt;titles&gt;&lt;title&gt;The Myth of the “Vulnerable Plaque”&lt;/title&gt;&lt;secondary-title&gt;Journal of the American College of Cardiology&lt;/secondary-title&gt;&lt;/titles&gt;&lt;periodical&gt;&lt;full-title&gt;Journal of the American College of Cardiology&lt;/full-title&gt;&lt;/periodical&gt;&lt;pages&gt;846-855&lt;/pages&gt;&lt;volume&gt;65&lt;/volume&gt;&lt;number&gt;8&lt;/number&gt;&lt;dates&gt;&lt;year&gt;2015&lt;/year&gt;&lt;/dates&gt;&lt;isbn&gt;07351097&lt;/isbn&gt;&lt;urls&gt;&lt;/urls&gt;&lt;electronic-resource-num&gt;10.1016/j.jacc.2014.11.041&lt;/electronic-resource-num&gt;&lt;/record&gt;&lt;/Cite&gt;&lt;/EndNote&gt;</w:instrText>
      </w:r>
      <w:r w:rsidR="00C330EB">
        <w:rPr>
          <w:rFonts w:ascii="Arial" w:hAnsi="Arial" w:cs="Arial"/>
        </w:rPr>
        <w:fldChar w:fldCharType="separate"/>
      </w:r>
      <w:r w:rsidR="00C330EB">
        <w:rPr>
          <w:rFonts w:ascii="Arial" w:hAnsi="Arial" w:cs="Arial"/>
          <w:noProof/>
        </w:rPr>
        <w:t>(Arbab-Zadeh &amp; Fuster, 2015)</w:t>
      </w:r>
      <w:r w:rsidR="00C330EB">
        <w:rPr>
          <w:rFonts w:ascii="Arial" w:hAnsi="Arial" w:cs="Arial"/>
        </w:rPr>
        <w:fldChar w:fldCharType="end"/>
      </w:r>
      <w:r w:rsidR="001A6D5C">
        <w:rPr>
          <w:rFonts w:ascii="Arial" w:hAnsi="Arial" w:cs="Arial"/>
        </w:rPr>
        <w:t xml:space="preserve"> or unstable angina</w:t>
      </w:r>
      <w:r w:rsidR="00CE250E">
        <w:rPr>
          <w:rFonts w:ascii="Arial" w:hAnsi="Arial" w:cs="Arial"/>
        </w:rPr>
        <w:t xml:space="preserve"> [</w:t>
      </w:r>
      <w:r w:rsidR="00CE250E" w:rsidRPr="00965060">
        <w:rPr>
          <w:rFonts w:ascii="Arial" w:hAnsi="Arial" w:cs="Arial"/>
          <w:highlight w:val="yellow"/>
        </w:rPr>
        <w:t>citation</w:t>
      </w:r>
      <w:r w:rsidR="00CE250E">
        <w:rPr>
          <w:rFonts w:ascii="Arial" w:hAnsi="Arial" w:cs="Arial"/>
        </w:rPr>
        <w:t>]</w:t>
      </w:r>
      <w:r w:rsidR="009C5A7F">
        <w:rPr>
          <w:rFonts w:ascii="Arial" w:hAnsi="Arial" w:cs="Arial"/>
        </w:rPr>
        <w:t xml:space="preserve">, as well as their downstream metabolic consequences. </w:t>
      </w:r>
      <w:proofErr w:type="gramStart"/>
      <w:r w:rsidR="00B77B91">
        <w:rPr>
          <w:rFonts w:ascii="Arial" w:hAnsi="Arial" w:cs="Arial"/>
        </w:rPr>
        <w:t>In order to</w:t>
      </w:r>
      <w:proofErr w:type="gramEnd"/>
      <w:r w:rsidR="00B77B91">
        <w:rPr>
          <w:rFonts w:ascii="Arial" w:hAnsi="Arial" w:cs="Arial"/>
        </w:rPr>
        <w:t xml:space="preserve"> determine</w:t>
      </w:r>
      <w:r w:rsidR="006B623C">
        <w:rPr>
          <w:rFonts w:ascii="Arial" w:hAnsi="Arial" w:cs="Arial"/>
        </w:rPr>
        <w:t xml:space="preserve"> metabolic perturbations associated with acute events, a reference model of the metabolic footprint of plasma from humans with stable heart disease is desirable. </w:t>
      </w:r>
    </w:p>
    <w:p w:rsidR="00B77B91" w:rsidRPr="008714CF" w:rsidRDefault="00B77B91" w:rsidP="00095E00">
      <w:pPr>
        <w:jc w:val="both"/>
        <w:rPr>
          <w:rFonts w:ascii="Arial" w:hAnsi="Arial" w:cs="Arial"/>
        </w:rPr>
      </w:pPr>
      <w:proofErr w:type="gramStart"/>
      <w:r>
        <w:rPr>
          <w:rFonts w:ascii="Arial" w:hAnsi="Arial" w:cs="Arial"/>
        </w:rPr>
        <w:t xml:space="preserve">In </w:t>
      </w:r>
      <w:r w:rsidR="001B109D">
        <w:rPr>
          <w:rFonts w:ascii="Arial" w:hAnsi="Arial" w:cs="Arial"/>
        </w:rPr>
        <w:t>order to</w:t>
      </w:r>
      <w:proofErr w:type="gramEnd"/>
      <w:r w:rsidR="001B109D">
        <w:rPr>
          <w:rFonts w:ascii="Arial" w:hAnsi="Arial" w:cs="Arial"/>
        </w:rPr>
        <w:t xml:space="preserve"> determine changes in the plasma metabolome associated with myocardial infarction (MI) characterized by thrombotic etiology versus non-thrombotic etiology, </w:t>
      </w:r>
      <w:proofErr w:type="spellStart"/>
      <w:r w:rsidR="001B109D">
        <w:rPr>
          <w:rFonts w:ascii="Arial" w:hAnsi="Arial" w:cs="Arial"/>
        </w:rPr>
        <w:t>DeFilippis</w:t>
      </w:r>
      <w:proofErr w:type="spellEnd"/>
      <w:r w:rsidR="001B109D">
        <w:rPr>
          <w:rFonts w:ascii="Arial" w:hAnsi="Arial" w:cs="Arial"/>
        </w:rPr>
        <w:t xml:space="preserve"> and colleagues recruited a human cohort as previously described </w: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 </w:instrTex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EN.CITE.DATA </w:instrText>
      </w:r>
      <w:r w:rsidR="00C6204C">
        <w:rPr>
          <w:rFonts w:ascii="Arial" w:hAnsi="Arial" w:cs="Arial"/>
        </w:rPr>
      </w:r>
      <w:r w:rsidR="00C6204C">
        <w:rPr>
          <w:rFonts w:ascii="Arial" w:hAnsi="Arial" w:cs="Arial"/>
        </w:rPr>
        <w:fldChar w:fldCharType="end"/>
      </w:r>
      <w:r w:rsidR="00C6204C">
        <w:rPr>
          <w:rFonts w:ascii="Arial" w:hAnsi="Arial" w:cs="Arial"/>
        </w:rPr>
      </w:r>
      <w:r w:rsidR="00C6204C">
        <w:rPr>
          <w:rFonts w:ascii="Arial" w:hAnsi="Arial" w:cs="Arial"/>
        </w:rPr>
        <w:fldChar w:fldCharType="separate"/>
      </w:r>
      <w:r w:rsidR="00C6204C">
        <w:rPr>
          <w:rFonts w:ascii="Arial" w:hAnsi="Arial" w:cs="Arial"/>
          <w:noProof/>
        </w:rPr>
        <w:t>(DeFilippis et al., 2016; DeFilippis et al., 2017; Trainor et al., 2017)</w:t>
      </w:r>
      <w:r w:rsidR="00C6204C">
        <w:rPr>
          <w:rFonts w:ascii="Arial" w:hAnsi="Arial" w:cs="Arial"/>
        </w:rPr>
        <w:fldChar w:fldCharType="end"/>
      </w:r>
      <w:r w:rsidR="001B109D">
        <w:rPr>
          <w:rFonts w:ascii="Arial" w:hAnsi="Arial" w:cs="Arial"/>
        </w:rPr>
        <w:t>.</w:t>
      </w:r>
      <w:r w:rsidR="00C6204C">
        <w:rPr>
          <w:rFonts w:ascii="Arial" w:hAnsi="Arial" w:cs="Arial"/>
        </w:rPr>
        <w:t xml:space="preserve"> </w:t>
      </w:r>
      <w:r w:rsidR="00547EED">
        <w:rPr>
          <w:rFonts w:ascii="Arial" w:hAnsi="Arial" w:cs="Arial"/>
        </w:rPr>
        <w:t>[</w:t>
      </w:r>
      <w:r w:rsidR="00547EED" w:rsidRPr="00547EED">
        <w:rPr>
          <w:rFonts w:ascii="Arial" w:hAnsi="Arial" w:cs="Arial"/>
          <w:highlight w:val="yellow"/>
        </w:rPr>
        <w:t>LOH</w:t>
      </w:r>
      <w:r w:rsidR="00547EED">
        <w:rPr>
          <w:rFonts w:ascii="Arial" w:hAnsi="Arial" w:cs="Arial"/>
        </w:rPr>
        <w:t>].</w:t>
      </w:r>
    </w:p>
    <w:p w:rsidR="00331611" w:rsidRDefault="00331611" w:rsidP="00095E00">
      <w:pPr>
        <w:pStyle w:val="ListParagraph"/>
        <w:numPr>
          <w:ilvl w:val="0"/>
          <w:numId w:val="3"/>
        </w:numPr>
        <w:jc w:val="both"/>
        <w:rPr>
          <w:rFonts w:ascii="Arial" w:hAnsi="Arial" w:cs="Arial"/>
        </w:rPr>
      </w:pPr>
      <w:r>
        <w:rPr>
          <w:rFonts w:ascii="Arial" w:hAnsi="Arial" w:cs="Arial"/>
        </w:rPr>
        <w:t xml:space="preserve">Results </w:t>
      </w:r>
    </w:p>
    <w:p w:rsidR="00331611" w:rsidRDefault="00986CF3" w:rsidP="00095E00">
      <w:pPr>
        <w:pStyle w:val="ListParagraph"/>
        <w:numPr>
          <w:ilvl w:val="1"/>
          <w:numId w:val="3"/>
        </w:numPr>
        <w:jc w:val="both"/>
        <w:rPr>
          <w:rFonts w:ascii="Arial" w:hAnsi="Arial" w:cs="Arial"/>
        </w:rPr>
      </w:pPr>
      <w:r>
        <w:rPr>
          <w:rFonts w:ascii="Arial" w:hAnsi="Arial" w:cs="Arial"/>
        </w:rPr>
        <w:t>Simulation studies</w:t>
      </w:r>
    </w:p>
    <w:p w:rsidR="00612853"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p w:rsidR="00DB283B" w:rsidRDefault="00095E00" w:rsidP="00B15D42">
      <w:pPr>
        <w:ind w:left="-720"/>
        <w:jc w:val="both"/>
        <w:rPr>
          <w:rFonts w:ascii="Arial" w:hAnsi="Arial" w:cs="Arial"/>
        </w:rPr>
      </w:pPr>
      <w:r>
        <w:rPr>
          <w:rFonts w:ascii="Arial" w:hAnsi="Arial" w:cs="Arial"/>
          <w:noProof/>
        </w:rPr>
        <w:drawing>
          <wp:inline distT="0" distB="0" distL="0" distR="0">
            <wp:extent cx="6953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6362" cy="2325140"/>
                    </a:xfrm>
                    <a:prstGeom prst="rect">
                      <a:avLst/>
                    </a:prstGeom>
                    <a:noFill/>
                    <a:ln>
                      <a:noFill/>
                    </a:ln>
                  </pic:spPr>
                </pic:pic>
              </a:graphicData>
            </a:graphic>
          </wp:inline>
        </w:drawing>
      </w:r>
    </w:p>
    <w:p w:rsidR="009D2E85" w:rsidRPr="00DB283B" w:rsidRDefault="009D2E85" w:rsidP="00095E00">
      <w:pPr>
        <w:jc w:val="both"/>
        <w:rPr>
          <w:rFonts w:ascii="Arial" w:hAnsi="Arial" w:cs="Arial"/>
        </w:rPr>
      </w:pPr>
      <w:r>
        <w:rPr>
          <w:rFonts w:ascii="Arial" w:hAnsi="Arial" w:cs="Arial"/>
        </w:rPr>
        <w:lastRenderedPageBreak/>
        <w:t>Blah blah blah.</w:t>
      </w:r>
    </w:p>
    <w:p w:rsidR="00986CF3" w:rsidRDefault="00986CF3" w:rsidP="00095E00">
      <w:pPr>
        <w:pStyle w:val="ListParagraph"/>
        <w:numPr>
          <w:ilvl w:val="1"/>
          <w:numId w:val="3"/>
        </w:numPr>
        <w:jc w:val="both"/>
        <w:rPr>
          <w:rFonts w:ascii="Arial" w:hAnsi="Arial" w:cs="Arial"/>
        </w:rPr>
      </w:pPr>
      <w:r>
        <w:rPr>
          <w:rFonts w:ascii="Arial" w:hAnsi="Arial" w:cs="Arial"/>
        </w:rPr>
        <w:t>Plasma interactome for stable heart disease</w:t>
      </w:r>
    </w:p>
    <w:p w:rsidR="00DB283B" w:rsidRPr="00DB283B"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tbl>
      <w:tblPr>
        <w:tblStyle w:val="TableGrid"/>
        <w:tblW w:w="1206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6390"/>
      </w:tblGrid>
      <w:tr w:rsidR="004800B9" w:rsidTr="003F2F1C">
        <w:trPr>
          <w:trHeight w:val="5730"/>
        </w:trPr>
        <w:tc>
          <w:tcPr>
            <w:tcW w:w="5670" w:type="dxa"/>
            <w:vAlign w:val="center"/>
          </w:tcPr>
          <w:p w:rsidR="00AB0D96" w:rsidRDefault="00740781" w:rsidP="00095E00">
            <w:pPr>
              <w:jc w:val="both"/>
              <w:rPr>
                <w:rFonts w:ascii="Arial" w:hAnsi="Arial" w:cs="Arial"/>
                <w:noProof/>
              </w:rPr>
            </w:pPr>
            <w:r>
              <w:rPr>
                <w:rFonts w:ascii="Arial" w:hAnsi="Arial" w:cs="Arial"/>
                <w:noProof/>
              </w:rPr>
              <w:t xml:space="preserve">     </w:t>
            </w:r>
            <w:r w:rsidR="00AB0D96">
              <w:rPr>
                <w:rFonts w:ascii="Arial" w:hAnsi="Arial" w:cs="Arial"/>
                <w:noProof/>
              </w:rPr>
              <w:t xml:space="preserve">A) Full heatmap </w:t>
            </w:r>
          </w:p>
          <w:p w:rsidR="00AB0D96" w:rsidRDefault="00AB0D96" w:rsidP="00095E00">
            <w:pPr>
              <w:jc w:val="both"/>
              <w:rPr>
                <w:rFonts w:ascii="Arial" w:hAnsi="Arial" w:cs="Arial"/>
                <w:noProof/>
              </w:rPr>
            </w:pPr>
          </w:p>
          <w:p w:rsidR="004800B9" w:rsidRDefault="00FB6C97" w:rsidP="00095E00">
            <w:pPr>
              <w:jc w:val="both"/>
              <w:rPr>
                <w:rFonts w:ascii="Arial" w:hAnsi="Arial" w:cs="Arial"/>
              </w:rPr>
            </w:pPr>
            <w:r>
              <w:rPr>
                <w:rFonts w:ascii="Arial" w:hAnsi="Arial" w:cs="Arial"/>
                <w:noProof/>
              </w:rPr>
              <w:drawing>
                <wp:inline distT="0" distB="0" distL="0" distR="0">
                  <wp:extent cx="3300984"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984" cy="3291840"/>
                          </a:xfrm>
                          <a:prstGeom prst="rect">
                            <a:avLst/>
                          </a:prstGeom>
                          <a:noFill/>
                          <a:ln>
                            <a:noFill/>
                          </a:ln>
                        </pic:spPr>
                      </pic:pic>
                    </a:graphicData>
                  </a:graphic>
                </wp:inline>
              </w:drawing>
            </w:r>
          </w:p>
        </w:tc>
        <w:tc>
          <w:tcPr>
            <w:tcW w:w="6390" w:type="dxa"/>
          </w:tcPr>
          <w:p w:rsidR="00E0744B" w:rsidRDefault="00E0744B" w:rsidP="00095E00">
            <w:pPr>
              <w:jc w:val="both"/>
              <w:rPr>
                <w:rFonts w:ascii="Arial" w:hAnsi="Arial" w:cs="Arial"/>
              </w:rPr>
            </w:pPr>
          </w:p>
          <w:p w:rsidR="00E0744B" w:rsidRDefault="00E0744B" w:rsidP="00095E00">
            <w:pPr>
              <w:jc w:val="both"/>
              <w:rPr>
                <w:rFonts w:ascii="Arial" w:hAnsi="Arial" w:cs="Arial"/>
              </w:rPr>
            </w:pPr>
          </w:p>
          <w:p w:rsidR="00E0744B" w:rsidRDefault="00E0744B" w:rsidP="00095E00">
            <w:pPr>
              <w:jc w:val="both"/>
              <w:rPr>
                <w:rFonts w:ascii="Arial" w:hAnsi="Arial" w:cs="Arial"/>
              </w:rPr>
            </w:pPr>
          </w:p>
          <w:p w:rsidR="00675E86" w:rsidRDefault="00675E86" w:rsidP="00095E00">
            <w:pPr>
              <w:jc w:val="both"/>
              <w:rPr>
                <w:rFonts w:ascii="Arial" w:hAnsi="Arial" w:cs="Arial"/>
              </w:rPr>
            </w:pPr>
          </w:p>
          <w:p w:rsidR="00AB0D96" w:rsidRDefault="00AB0D96" w:rsidP="00095E00">
            <w:pPr>
              <w:jc w:val="both"/>
              <w:rPr>
                <w:rFonts w:ascii="Arial" w:hAnsi="Arial" w:cs="Arial"/>
              </w:rPr>
            </w:pPr>
            <w:r>
              <w:rPr>
                <w:rFonts w:ascii="Arial" w:hAnsi="Arial" w:cs="Arial"/>
              </w:rPr>
              <w:t>B) Zoomed-in perspective of two clusters</w:t>
            </w:r>
          </w:p>
          <w:p w:rsidR="00E0744B" w:rsidRDefault="00E0744B" w:rsidP="00095E00">
            <w:pPr>
              <w:jc w:val="both"/>
              <w:rPr>
                <w:rFonts w:ascii="Arial" w:hAnsi="Arial" w:cs="Arial"/>
              </w:rPr>
            </w:pPr>
          </w:p>
          <w:p w:rsidR="00AB0D96" w:rsidRDefault="00AB0D96" w:rsidP="00095E00">
            <w:pPr>
              <w:jc w:val="both"/>
              <w:rPr>
                <w:rFonts w:ascii="Arial" w:hAnsi="Arial" w:cs="Arial"/>
              </w:rPr>
            </w:pPr>
          </w:p>
          <w:p w:rsidR="004800B9" w:rsidRDefault="006F458E" w:rsidP="00095E00">
            <w:pPr>
              <w:jc w:val="both"/>
              <w:rPr>
                <w:rFonts w:ascii="Arial" w:hAnsi="Arial" w:cs="Arial"/>
              </w:rPr>
            </w:pPr>
            <w:r>
              <w:rPr>
                <w:rFonts w:ascii="Arial" w:hAnsi="Arial" w:cs="Arial"/>
                <w:noProof/>
              </w:rPr>
              <w:drawing>
                <wp:inline distT="0" distB="0" distL="0" distR="0">
                  <wp:extent cx="3767328" cy="1600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7328" cy="1600200"/>
                          </a:xfrm>
                          <a:prstGeom prst="rect">
                            <a:avLst/>
                          </a:prstGeom>
                          <a:noFill/>
                          <a:ln>
                            <a:noFill/>
                          </a:ln>
                        </pic:spPr>
                      </pic:pic>
                    </a:graphicData>
                  </a:graphic>
                </wp:inline>
              </w:drawing>
            </w:r>
          </w:p>
          <w:p w:rsidR="00AB0D96" w:rsidRDefault="00AB0D96" w:rsidP="00095E00">
            <w:pPr>
              <w:jc w:val="both"/>
              <w:rPr>
                <w:rFonts w:ascii="Arial" w:hAnsi="Arial" w:cs="Arial"/>
              </w:rPr>
            </w:pPr>
          </w:p>
          <w:p w:rsidR="00F67A3C" w:rsidRDefault="00F67A3C" w:rsidP="00095E00">
            <w:pPr>
              <w:jc w:val="both"/>
              <w:rPr>
                <w:rFonts w:ascii="Arial" w:hAnsi="Arial" w:cs="Arial"/>
              </w:rPr>
            </w:pPr>
          </w:p>
          <w:p w:rsidR="00675E86" w:rsidRDefault="00675E86" w:rsidP="00095E00">
            <w:pPr>
              <w:jc w:val="both"/>
              <w:rPr>
                <w:rFonts w:ascii="Arial" w:hAnsi="Arial" w:cs="Arial"/>
              </w:rPr>
            </w:pPr>
          </w:p>
          <w:p w:rsidR="00675E86" w:rsidRDefault="00675E86" w:rsidP="00095E00">
            <w:pPr>
              <w:jc w:val="both"/>
              <w:rPr>
                <w:rFonts w:ascii="Arial" w:hAnsi="Arial" w:cs="Arial"/>
              </w:rPr>
            </w:pPr>
          </w:p>
          <w:p w:rsidR="00F67A3C" w:rsidRDefault="00F67A3C" w:rsidP="00095E00">
            <w:pPr>
              <w:jc w:val="both"/>
              <w:rPr>
                <w:rFonts w:ascii="Arial" w:hAnsi="Arial" w:cs="Arial"/>
              </w:rPr>
            </w:pPr>
            <w:r>
              <w:rPr>
                <w:rFonts w:ascii="Arial" w:hAnsi="Arial" w:cs="Arial"/>
              </w:rPr>
              <w:t xml:space="preserve">Figure: </w:t>
            </w:r>
            <w:r w:rsidR="00AB0D96">
              <w:rPr>
                <w:rFonts w:ascii="Arial" w:hAnsi="Arial" w:cs="Arial"/>
              </w:rPr>
              <w:t xml:space="preserve">Heatmap showing structural similarity for the N compounds detected by chromatography coupled-mass spectrometry in the heart disease data with PubChem entries available. </w:t>
            </w:r>
          </w:p>
        </w:tc>
      </w:tr>
    </w:tbl>
    <w:p w:rsidR="004800B9" w:rsidRPr="004800B9" w:rsidRDefault="004800B9" w:rsidP="00095E00">
      <w:pPr>
        <w:jc w:val="both"/>
        <w:rPr>
          <w:rFonts w:ascii="Arial" w:hAnsi="Arial" w:cs="Arial"/>
        </w:rPr>
      </w:pPr>
    </w:p>
    <w:p w:rsidR="00986CF3" w:rsidRPr="00656740" w:rsidRDefault="00986CF3" w:rsidP="00095E00">
      <w:pPr>
        <w:pStyle w:val="ListParagraph"/>
        <w:numPr>
          <w:ilvl w:val="0"/>
          <w:numId w:val="3"/>
        </w:numPr>
        <w:jc w:val="both"/>
        <w:rPr>
          <w:rFonts w:ascii="Arial" w:hAnsi="Arial" w:cs="Arial"/>
        </w:rPr>
      </w:pPr>
      <w:r>
        <w:rPr>
          <w:rFonts w:ascii="Arial" w:hAnsi="Arial" w:cs="Arial"/>
        </w:rPr>
        <w:t xml:space="preserve">Discussion </w:t>
      </w:r>
    </w:p>
    <w:p w:rsidR="00156B0C" w:rsidRPr="00156B0C" w:rsidRDefault="00A851B7" w:rsidP="00156B0C">
      <w:pPr>
        <w:pStyle w:val="EndNoteBibliographyTitle"/>
      </w:pPr>
      <w:r>
        <w:fldChar w:fldCharType="begin"/>
      </w:r>
      <w:r>
        <w:instrText xml:space="preserve"> ADDIN EN.REFLIST </w:instrText>
      </w:r>
      <w:r>
        <w:fldChar w:fldCharType="separate"/>
      </w:r>
      <w:r w:rsidR="00156B0C" w:rsidRPr="00156B0C">
        <w:t>References</w:t>
      </w:r>
    </w:p>
    <w:p w:rsidR="00156B0C" w:rsidRPr="00156B0C" w:rsidRDefault="00156B0C" w:rsidP="00156B0C">
      <w:pPr>
        <w:pStyle w:val="EndNoteBibliographyTitle"/>
      </w:pPr>
    </w:p>
    <w:p w:rsidR="00156B0C" w:rsidRPr="00156B0C" w:rsidRDefault="00156B0C" w:rsidP="00156B0C">
      <w:pPr>
        <w:pStyle w:val="EndNoteBibliography"/>
        <w:spacing w:after="0"/>
        <w:ind w:left="720" w:hanging="720"/>
      </w:pPr>
      <w:r w:rsidRPr="00156B0C">
        <w:t xml:space="preserve">Arbab-Zadeh, A., &amp; Fuster, V. (2015). The Myth of the “Vulnerable Plaque”. </w:t>
      </w:r>
      <w:r w:rsidRPr="00156B0C">
        <w:rPr>
          <w:i/>
        </w:rPr>
        <w:t>Journal of the American College of Cardiology, 65</w:t>
      </w:r>
      <w:r w:rsidRPr="00156B0C">
        <w:t>(8), 846-855. doi:10.1016/j.jacc.2014.11.041</w:t>
      </w:r>
    </w:p>
    <w:p w:rsidR="00156B0C" w:rsidRPr="00156B0C" w:rsidRDefault="00156B0C" w:rsidP="00156B0C">
      <w:pPr>
        <w:pStyle w:val="EndNoteBibliography"/>
        <w:spacing w:after="0"/>
        <w:ind w:left="720" w:hanging="720"/>
      </w:pPr>
      <w:r w:rsidRPr="00156B0C">
        <w:t xml:space="preserve">Banerjee, O., El Ghaoui, L., &amp; d'Aspremont, A. (2008). Model Selection Through Sparse Maximum Likelihood Estimation for Multivariate Gaussian or Binary Data. </w:t>
      </w:r>
      <w:r w:rsidRPr="00156B0C">
        <w:rPr>
          <w:i/>
        </w:rPr>
        <w:t>J. Mach. Learn. Res., 9</w:t>
      </w:r>
      <w:r w:rsidRPr="00156B0C">
        <w:t xml:space="preserve">, 485-516. </w:t>
      </w:r>
    </w:p>
    <w:p w:rsidR="00156B0C" w:rsidRPr="00156B0C" w:rsidRDefault="00156B0C" w:rsidP="00156B0C">
      <w:pPr>
        <w:pStyle w:val="EndNoteBibliography"/>
        <w:spacing w:after="0"/>
        <w:ind w:left="720" w:hanging="720"/>
      </w:pPr>
      <w:r w:rsidRPr="00156B0C">
        <w:t xml:space="preserve">Barupal, D. K., &amp; Fiehn, O. (2017). Chemical Similarity Enrichment Analysis (ChemRICH) as alternative to biochemical pathway mapping for metabolomic datasets. </w:t>
      </w:r>
      <w:r w:rsidRPr="00156B0C">
        <w:rPr>
          <w:i/>
        </w:rPr>
        <w:t>Scientific Reports, 7</w:t>
      </w:r>
      <w:r w:rsidRPr="00156B0C">
        <w:t>(1). doi:10.1038/s41598-017-15231-w</w:t>
      </w:r>
    </w:p>
    <w:p w:rsidR="00156B0C" w:rsidRPr="00156B0C" w:rsidRDefault="00156B0C" w:rsidP="00156B0C">
      <w:pPr>
        <w:pStyle w:val="EndNoteBibliography"/>
        <w:spacing w:after="0"/>
        <w:ind w:left="720" w:hanging="720"/>
      </w:pPr>
      <w:r w:rsidRPr="00156B0C">
        <w:t xml:space="preserve">Benjamin, E. J., Blaha, M. J., Chiuve, S. E., Cushman, M., Das, S. R., Deo, R., . . . Muntner, P. (2017). Heart Disease and Stroke Statistics—2017 Update: A Report From the American Heart Association. </w:t>
      </w:r>
      <w:r w:rsidRPr="00156B0C">
        <w:rPr>
          <w:i/>
        </w:rPr>
        <w:t>Circulation, 135</w:t>
      </w:r>
      <w:r w:rsidRPr="00156B0C">
        <w:t>(10), e146-e603. doi:10.1161/cir.0000000000000485</w:t>
      </w:r>
    </w:p>
    <w:p w:rsidR="00156B0C" w:rsidRPr="00156B0C" w:rsidRDefault="00156B0C" w:rsidP="00156B0C">
      <w:pPr>
        <w:pStyle w:val="EndNoteBibliography"/>
        <w:spacing w:after="0"/>
        <w:ind w:left="720" w:hanging="720"/>
      </w:pPr>
      <w:r w:rsidRPr="00156B0C">
        <w:t xml:space="preserve">Buhl, S. L. (1993). On the Existence of Maximum Likelihood Estimators for Graphical Gaussian Models. </w:t>
      </w:r>
      <w:r w:rsidRPr="00156B0C">
        <w:rPr>
          <w:i/>
        </w:rPr>
        <w:t>Scandinavian Journal of Statistics, 20</w:t>
      </w:r>
      <w:r w:rsidRPr="00156B0C">
        <w:t xml:space="preserve">(3), 263-270. </w:t>
      </w:r>
    </w:p>
    <w:p w:rsidR="00156B0C" w:rsidRPr="00156B0C" w:rsidRDefault="00156B0C" w:rsidP="00156B0C">
      <w:pPr>
        <w:pStyle w:val="EndNoteBibliography"/>
        <w:spacing w:after="0"/>
        <w:ind w:left="720" w:hanging="720"/>
      </w:pPr>
      <w:r w:rsidRPr="00156B0C">
        <w:t xml:space="preserve">Cao, Y., Charisi, A., Cheng, L. C., Jiang, T., &amp; Girke, T. (2008). ChemmineR: a compound mining framework for R. </w:t>
      </w:r>
      <w:r w:rsidRPr="00156B0C">
        <w:rPr>
          <w:i/>
        </w:rPr>
        <w:t>Bioinformatics, 24</w:t>
      </w:r>
      <w:r w:rsidRPr="00156B0C">
        <w:t>(15), 1733-1734. doi:10.1093/bioinformatics/btn307</w:t>
      </w:r>
    </w:p>
    <w:p w:rsidR="00156B0C" w:rsidRPr="00156B0C" w:rsidRDefault="00156B0C" w:rsidP="00156B0C">
      <w:pPr>
        <w:pStyle w:val="EndNoteBibliography"/>
        <w:spacing w:after="0"/>
        <w:ind w:left="720" w:hanging="720"/>
      </w:pPr>
      <w:r w:rsidRPr="00156B0C">
        <w:t xml:space="preserve">Carhart, R. E., Smith, D. H., &amp; Venkataraghavan, R. (1985). Atom pairs as molecular features in structure-activity studies: definition and applications. </w:t>
      </w:r>
      <w:r w:rsidRPr="00156B0C">
        <w:rPr>
          <w:i/>
        </w:rPr>
        <w:t>Journal of Chemical Information and Modeling, 25</w:t>
      </w:r>
      <w:r w:rsidRPr="00156B0C">
        <w:t>(2), 64-73. doi:10.1021/ci00046a002</w:t>
      </w:r>
    </w:p>
    <w:p w:rsidR="00156B0C" w:rsidRPr="00156B0C" w:rsidRDefault="00156B0C" w:rsidP="00156B0C">
      <w:pPr>
        <w:pStyle w:val="EndNoteBibliography"/>
        <w:spacing w:after="0"/>
        <w:ind w:left="720" w:hanging="720"/>
      </w:pPr>
      <w:r w:rsidRPr="00156B0C">
        <w:t xml:space="preserve">Chen, X., &amp; Reynolds, C. H. (2002). Performance of Similarity Measures in 2D Fragment-Based Similarity Searching:  Comparison of Structural Descriptors and Similarity Coefficients. </w:t>
      </w:r>
      <w:r w:rsidRPr="00156B0C">
        <w:rPr>
          <w:i/>
        </w:rPr>
        <w:t>Journal of Chemical Information and Computer Sciences, 42</w:t>
      </w:r>
      <w:r w:rsidRPr="00156B0C">
        <w:t>(6), 1407-1414. doi:10.1021/ci025531g</w:t>
      </w:r>
    </w:p>
    <w:p w:rsidR="00156B0C" w:rsidRPr="00156B0C" w:rsidRDefault="00156B0C" w:rsidP="00156B0C">
      <w:pPr>
        <w:pStyle w:val="EndNoteBibliography"/>
        <w:spacing w:after="0"/>
        <w:ind w:left="720" w:hanging="720"/>
      </w:pPr>
      <w:r w:rsidRPr="00156B0C">
        <w:lastRenderedPageBreak/>
        <w:t xml:space="preserve">DeFilippis, A. P., Chernyavskiy, I., Amraotkar, A. R., Trainor, P. J., Kothari, S., Ismail, I., . . . Bhatnagar, A. (2016). Circulating levels of plasminogen and oxidized phospholipids bound to plasminogen distinguish between atherothrombotic and non-atherothrombotic myocardial infarction. </w:t>
      </w:r>
      <w:r w:rsidRPr="00156B0C">
        <w:rPr>
          <w:i/>
        </w:rPr>
        <w:t>J Thromb Thrombolysis, 42</w:t>
      </w:r>
      <w:r w:rsidRPr="00156B0C">
        <w:t>(1), 61-76. doi:10.1007/s11239-015-1292-5</w:t>
      </w:r>
    </w:p>
    <w:p w:rsidR="00156B0C" w:rsidRPr="00156B0C" w:rsidRDefault="00156B0C" w:rsidP="00156B0C">
      <w:pPr>
        <w:pStyle w:val="EndNoteBibliography"/>
        <w:spacing w:after="0"/>
        <w:ind w:left="720" w:hanging="720"/>
      </w:pPr>
      <w:r w:rsidRPr="00156B0C">
        <w:t xml:space="preserve">DeFilippis, A. P., Trainor, P. J., Hill, B. G., Amraotkar, A. R., Rai, S. N., Hirsch, G. A., . . . Bhatnagar, A. (2017). Identification of a plasma metabolomic signature of thrombotic myocardial infarction that is distinct from non-thrombotic myocardial infarction and stable coronary artery disease. </w:t>
      </w:r>
      <w:r w:rsidRPr="00156B0C">
        <w:rPr>
          <w:i/>
        </w:rPr>
        <w:t>PLoS One, 12</w:t>
      </w:r>
      <w:r w:rsidRPr="00156B0C">
        <w:t>(4), e0175591. doi:10.1371/journal.pone.0175591</w:t>
      </w:r>
    </w:p>
    <w:p w:rsidR="00156B0C" w:rsidRPr="00156B0C" w:rsidRDefault="00156B0C" w:rsidP="00156B0C">
      <w:pPr>
        <w:pStyle w:val="EndNoteBibliography"/>
        <w:spacing w:after="0"/>
        <w:ind w:left="720" w:hanging="720"/>
      </w:pPr>
      <w:r w:rsidRPr="00156B0C">
        <w:t xml:space="preserve">Dunn, W. B., Lin, W., Broadhurst, D., Begley, P., Brown, M., Zelena, E., . . . Kell, D. B. (2014). Molecular phenotyping of a UK population: defining the human serum metabolome. </w:t>
      </w:r>
      <w:r w:rsidRPr="00156B0C">
        <w:rPr>
          <w:i/>
        </w:rPr>
        <w:t>Metabolomics, 11</w:t>
      </w:r>
      <w:r w:rsidRPr="00156B0C">
        <w:t>(1), 9-26. doi:10.1007/s11306-014-0707-1</w:t>
      </w:r>
    </w:p>
    <w:p w:rsidR="00156B0C" w:rsidRPr="00156B0C" w:rsidRDefault="00156B0C" w:rsidP="00156B0C">
      <w:pPr>
        <w:pStyle w:val="EndNoteBibliography"/>
        <w:spacing w:after="0"/>
        <w:ind w:left="720" w:hanging="720"/>
      </w:pPr>
      <w:r w:rsidRPr="00156B0C">
        <w:t xml:space="preserve">Fan, J., Feng, Y., &amp; Wu, Y. (2009). Network exploration via the adaptive LASSO and SCAD penalties. </w:t>
      </w:r>
      <w:r w:rsidRPr="00156B0C">
        <w:rPr>
          <w:i/>
        </w:rPr>
        <w:t>The Annals of Applied Statistics, 3</w:t>
      </w:r>
      <w:r w:rsidRPr="00156B0C">
        <w:t>(2), 521-541. doi:10.1214/08-aoas215</w:t>
      </w:r>
    </w:p>
    <w:p w:rsidR="00156B0C" w:rsidRPr="00156B0C" w:rsidRDefault="00156B0C" w:rsidP="00156B0C">
      <w:pPr>
        <w:pStyle w:val="EndNoteBibliography"/>
        <w:spacing w:after="0"/>
        <w:ind w:left="720" w:hanging="720"/>
      </w:pPr>
      <w:r w:rsidRPr="00156B0C">
        <w:t xml:space="preserve">Friedman, J., Hastie, T., &amp; Tibshirani, R. (2007). Sparse inverse covariance estimation with the graphical lasso. </w:t>
      </w:r>
      <w:r w:rsidRPr="00156B0C">
        <w:rPr>
          <w:i/>
        </w:rPr>
        <w:t>Biostatistics, 9</w:t>
      </w:r>
      <w:r w:rsidRPr="00156B0C">
        <w:t>(3), 432-441. doi:10.1093/biostatistics/kxm045</w:t>
      </w:r>
    </w:p>
    <w:p w:rsidR="00156B0C" w:rsidRPr="00156B0C" w:rsidRDefault="00156B0C" w:rsidP="00156B0C">
      <w:pPr>
        <w:pStyle w:val="EndNoteBibliography"/>
        <w:spacing w:after="0"/>
        <w:ind w:left="720" w:hanging="720"/>
      </w:pPr>
      <w:r w:rsidRPr="00156B0C">
        <w:t xml:space="preserve">Kasper, D. L. (2015). </w:t>
      </w:r>
      <w:r w:rsidRPr="00156B0C">
        <w:rPr>
          <w:i/>
        </w:rPr>
        <w:t>Harrison's principles of internal medicine</w:t>
      </w:r>
      <w:r w:rsidRPr="00156B0C">
        <w:t xml:space="preserve"> (19th edition / editors, Dennis L. Kasper, MD, William Ellery Channing, Professor of Medicine, Professor of Microbiology, Department of Microbiology and Immunobiology, Harvard Medical School, Division of Infectious Diseases, Brigham and Women's Hospital, Boston, Massachusetts and five others . ed.). New York: McGraw Hill Education.</w:t>
      </w:r>
    </w:p>
    <w:p w:rsidR="00156B0C" w:rsidRPr="00156B0C" w:rsidRDefault="00156B0C" w:rsidP="00156B0C">
      <w:pPr>
        <w:pStyle w:val="EndNoteBibliography"/>
        <w:spacing w:after="0"/>
        <w:ind w:left="720" w:hanging="720"/>
      </w:pPr>
      <w:r w:rsidRPr="00156B0C">
        <w:t xml:space="preserve">Koller, D., &amp; Friedman, N. (2009). </w:t>
      </w:r>
      <w:r w:rsidRPr="00156B0C">
        <w:rPr>
          <w:i/>
        </w:rPr>
        <w:t>Probabilistic graphical models : principles and techniques</w:t>
      </w:r>
      <w:r w:rsidRPr="00156B0C">
        <w:t>. Cambridge, MA: MIT Press.</w:t>
      </w:r>
    </w:p>
    <w:p w:rsidR="00156B0C" w:rsidRPr="00156B0C" w:rsidRDefault="00156B0C" w:rsidP="00156B0C">
      <w:pPr>
        <w:pStyle w:val="EndNoteBibliography"/>
        <w:spacing w:after="0"/>
        <w:ind w:left="720" w:hanging="720"/>
      </w:pPr>
      <w:r w:rsidRPr="00156B0C">
        <w:t xml:space="preserve">Meinshausen, N., &amp; Bühlmann, P. (2006). High-dimensional graphs and variable selection with the Lasso. </w:t>
      </w:r>
      <w:r w:rsidRPr="00156B0C">
        <w:rPr>
          <w:i/>
        </w:rPr>
        <w:t>The Annals of Statistics, 34</w:t>
      </w:r>
      <w:r w:rsidRPr="00156B0C">
        <w:t>(3), 1436-1462. doi:10.1214/009053606000000281</w:t>
      </w:r>
    </w:p>
    <w:p w:rsidR="00156B0C" w:rsidRPr="00156B0C" w:rsidRDefault="00156B0C" w:rsidP="00156B0C">
      <w:pPr>
        <w:pStyle w:val="EndNoteBibliography"/>
        <w:spacing w:after="0"/>
        <w:ind w:left="720" w:hanging="720"/>
      </w:pPr>
      <w:r w:rsidRPr="00156B0C">
        <w:t xml:space="preserve">Moriya, T., Satomi, Y., Murata, S., Sawada, H., &amp; Kobayashi, H. (2017). Effect of gut microbiota on host whole metabolome. </w:t>
      </w:r>
      <w:r w:rsidRPr="00156B0C">
        <w:rPr>
          <w:i/>
        </w:rPr>
        <w:t>Metabolomics, 13</w:t>
      </w:r>
      <w:r w:rsidRPr="00156B0C">
        <w:t>(9). doi:10.1007/s11306-017-1240-9</w:t>
      </w:r>
    </w:p>
    <w:p w:rsidR="00156B0C" w:rsidRPr="00156B0C" w:rsidRDefault="00156B0C" w:rsidP="00156B0C">
      <w:pPr>
        <w:pStyle w:val="EndNoteBibliography"/>
        <w:spacing w:after="0"/>
        <w:ind w:left="720" w:hanging="720"/>
      </w:pPr>
      <w:r w:rsidRPr="00156B0C">
        <w:t xml:space="preserve">Shlomi, T., Cabili, M. N., Herrgård, M. J., Palsson, B. Ø., &amp; Ruppin, E. (2008). Network-based prediction of human tissue-specific metabolism. </w:t>
      </w:r>
      <w:r w:rsidRPr="00156B0C">
        <w:rPr>
          <w:i/>
        </w:rPr>
        <w:t>Nature Biotechnology, 26</w:t>
      </w:r>
      <w:r w:rsidRPr="00156B0C">
        <w:t>(9), 1003-1010. doi:10.1038/nbt.1487</w:t>
      </w:r>
    </w:p>
    <w:p w:rsidR="00156B0C" w:rsidRPr="00156B0C" w:rsidRDefault="00156B0C" w:rsidP="00156B0C">
      <w:pPr>
        <w:pStyle w:val="EndNoteBibliography"/>
        <w:spacing w:after="0"/>
        <w:ind w:left="720" w:hanging="720"/>
      </w:pPr>
      <w:r w:rsidRPr="00156B0C">
        <w:t xml:space="preserve">Southam, A. D., Lange, A., Al-Salhi, R., Hill, E. M., Tyler, C. R., &amp; Viant, M. R. (2014). Distinguishing between the metabolome and xenobiotic exposome in environmental field samples analysed by direct-infusion mass spectrometry based metabolomics and lipidomics. </w:t>
      </w:r>
      <w:r w:rsidRPr="00156B0C">
        <w:rPr>
          <w:i/>
        </w:rPr>
        <w:t>Metabolomics, 10</w:t>
      </w:r>
      <w:r w:rsidRPr="00156B0C">
        <w:t>(6), 1050-1058. doi:10.1007/s11306-014-0693-3</w:t>
      </w:r>
    </w:p>
    <w:p w:rsidR="00156B0C" w:rsidRPr="00156B0C" w:rsidRDefault="00156B0C" w:rsidP="00156B0C">
      <w:pPr>
        <w:pStyle w:val="EndNoteBibliography"/>
        <w:spacing w:after="0"/>
        <w:ind w:left="720" w:hanging="720"/>
      </w:pPr>
      <w:r w:rsidRPr="00156B0C">
        <w:t xml:space="preserve">Trainor, P. J., Hill, B. G., Carlisle, S. M., Rouchka, E. C., Rai, S. N., Bhatnagar, A., &amp; DeFilippis, A. P. (2017). Systems characterization of differential plasma metabolome perturbations following thrombotic and non-thrombotic myocardial infarction. </w:t>
      </w:r>
      <w:r w:rsidRPr="00156B0C">
        <w:rPr>
          <w:i/>
        </w:rPr>
        <w:t>Journal of Proteomics</w:t>
      </w:r>
      <w:r w:rsidRPr="00156B0C">
        <w:t>. doi:10.1016/j.jprot.2017.03.014</w:t>
      </w:r>
    </w:p>
    <w:p w:rsidR="00156B0C" w:rsidRPr="00156B0C" w:rsidRDefault="00156B0C" w:rsidP="00156B0C">
      <w:pPr>
        <w:pStyle w:val="EndNoteBibliography"/>
        <w:spacing w:after="0"/>
        <w:ind w:left="720" w:hanging="720"/>
      </w:pPr>
      <w:r w:rsidRPr="00156B0C">
        <w:t xml:space="preserve">Voet, D., Voet, J. G., &amp; Pratt, C. W. (2013). </w:t>
      </w:r>
      <w:r w:rsidRPr="00156B0C">
        <w:rPr>
          <w:i/>
        </w:rPr>
        <w:t>Fundamentals of biochemistry : life at the molecular level</w:t>
      </w:r>
      <w:r w:rsidRPr="00156B0C">
        <w:t xml:space="preserve"> (4th ed.). Hoboken, NJ: Wiley.</w:t>
      </w:r>
    </w:p>
    <w:p w:rsidR="00156B0C" w:rsidRPr="00156B0C" w:rsidRDefault="00156B0C" w:rsidP="00156B0C">
      <w:pPr>
        <w:pStyle w:val="EndNoteBibliography"/>
        <w:spacing w:after="0"/>
        <w:ind w:left="720" w:hanging="720"/>
      </w:pPr>
      <w:r w:rsidRPr="00156B0C">
        <w:t xml:space="preserve">Wang, H. (2012). Bayesian Graphical Lasso Models and Efficient Posterior Computation. </w:t>
      </w:r>
      <w:r w:rsidRPr="00156B0C">
        <w:rPr>
          <w:i/>
        </w:rPr>
        <w:t>Bayesian Analysis, 7</w:t>
      </w:r>
      <w:r w:rsidRPr="00156B0C">
        <w:t>(4), 867-886. doi:10.1214/12-ba729</w:t>
      </w:r>
    </w:p>
    <w:p w:rsidR="00156B0C" w:rsidRPr="00156B0C" w:rsidRDefault="00156B0C" w:rsidP="00156B0C">
      <w:pPr>
        <w:pStyle w:val="EndNoteBibliography"/>
        <w:ind w:left="720" w:hanging="720"/>
      </w:pPr>
      <w:r w:rsidRPr="00156B0C">
        <w:t xml:space="preserve">Yuan, M., &amp; Lin, Y. (2007). Model selection and estimation in the Gaussian graphical model. </w:t>
      </w:r>
      <w:r w:rsidRPr="00156B0C">
        <w:rPr>
          <w:i/>
        </w:rPr>
        <w:t>Biometrika, 94</w:t>
      </w:r>
      <w:r w:rsidRPr="00156B0C">
        <w:t>(1), 19-35. doi:10.1093/biomet/asm018</w:t>
      </w:r>
    </w:p>
    <w:p w:rsidR="00FB07EC" w:rsidRPr="00657C4B" w:rsidRDefault="00A851B7" w:rsidP="00561B86">
      <w:r>
        <w:fldChar w:fldCharType="end"/>
      </w:r>
    </w:p>
    <w:sectPr w:rsidR="00FB07EC" w:rsidRPr="006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47B1"/>
    <w:multiLevelType w:val="hybridMultilevel"/>
    <w:tmpl w:val="FE824648"/>
    <w:lvl w:ilvl="0" w:tplc="88D85C4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AF1A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Helvetica&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22pa5k2dxthexst355fze9fs9ssfv9txp&quot;&gt;Best_ENL_Ever&lt;record-ids&gt;&lt;item&gt;564&lt;/item&gt;&lt;item&gt;565&lt;/item&gt;&lt;item&gt;566&lt;/item&gt;&lt;item&gt;607&lt;/item&gt;&lt;item&gt;635&lt;/item&gt;&lt;item&gt;682&lt;/item&gt;&lt;item&gt;757&lt;/item&gt;&lt;item&gt;758&lt;/item&gt;&lt;item&gt;1021&lt;/item&gt;&lt;item&gt;1023&lt;/item&gt;&lt;item&gt;1029&lt;/item&gt;&lt;item&gt;1053&lt;/item&gt;&lt;item&gt;1054&lt;/item&gt;&lt;item&gt;1055&lt;/item&gt;&lt;item&gt;1056&lt;/item&gt;&lt;item&gt;1057&lt;/item&gt;&lt;item&gt;1058&lt;/item&gt;&lt;item&gt;1059&lt;/item&gt;&lt;item&gt;1060&lt;/item&gt;&lt;item&gt;1061&lt;/item&gt;&lt;item&gt;1062&lt;/item&gt;&lt;item&gt;1063&lt;/item&gt;&lt;item&gt;1064&lt;/item&gt;&lt;/record-ids&gt;&lt;/item&gt;&lt;/Libraries&gt;"/>
  </w:docVars>
  <w:rsids>
    <w:rsidRoot w:val="00B10716"/>
    <w:rsid w:val="000106D6"/>
    <w:rsid w:val="00011D3B"/>
    <w:rsid w:val="00013C79"/>
    <w:rsid w:val="00022F77"/>
    <w:rsid w:val="00035F5F"/>
    <w:rsid w:val="00037E67"/>
    <w:rsid w:val="00045E45"/>
    <w:rsid w:val="000815D7"/>
    <w:rsid w:val="00083C09"/>
    <w:rsid w:val="00091764"/>
    <w:rsid w:val="00095E00"/>
    <w:rsid w:val="000B1E33"/>
    <w:rsid w:val="000B2780"/>
    <w:rsid w:val="000B66E4"/>
    <w:rsid w:val="000B7C95"/>
    <w:rsid w:val="000F2667"/>
    <w:rsid w:val="000F77F1"/>
    <w:rsid w:val="0011527B"/>
    <w:rsid w:val="00115EED"/>
    <w:rsid w:val="001160A5"/>
    <w:rsid w:val="00116B1A"/>
    <w:rsid w:val="00116C5F"/>
    <w:rsid w:val="001225F6"/>
    <w:rsid w:val="0014731E"/>
    <w:rsid w:val="00147D14"/>
    <w:rsid w:val="00156B0C"/>
    <w:rsid w:val="00157438"/>
    <w:rsid w:val="001577CA"/>
    <w:rsid w:val="00163C96"/>
    <w:rsid w:val="00181749"/>
    <w:rsid w:val="001A1CA7"/>
    <w:rsid w:val="001A6D5C"/>
    <w:rsid w:val="001B109D"/>
    <w:rsid w:val="001B2652"/>
    <w:rsid w:val="001B7D81"/>
    <w:rsid w:val="001C3637"/>
    <w:rsid w:val="001C6DEF"/>
    <w:rsid w:val="001C7BFE"/>
    <w:rsid w:val="001C7FE2"/>
    <w:rsid w:val="001D5760"/>
    <w:rsid w:val="001E49D8"/>
    <w:rsid w:val="001F7BB7"/>
    <w:rsid w:val="00206FC9"/>
    <w:rsid w:val="00221CD1"/>
    <w:rsid w:val="002424BB"/>
    <w:rsid w:val="00251883"/>
    <w:rsid w:val="00255826"/>
    <w:rsid w:val="002604A4"/>
    <w:rsid w:val="00273FEF"/>
    <w:rsid w:val="002751B8"/>
    <w:rsid w:val="002901ED"/>
    <w:rsid w:val="002A251D"/>
    <w:rsid w:val="002A2D27"/>
    <w:rsid w:val="002E62B2"/>
    <w:rsid w:val="002F529A"/>
    <w:rsid w:val="002F7A1A"/>
    <w:rsid w:val="00301BF2"/>
    <w:rsid w:val="00313A78"/>
    <w:rsid w:val="00314B7E"/>
    <w:rsid w:val="003210A5"/>
    <w:rsid w:val="003212F3"/>
    <w:rsid w:val="00331611"/>
    <w:rsid w:val="00341121"/>
    <w:rsid w:val="00345459"/>
    <w:rsid w:val="003527D3"/>
    <w:rsid w:val="003547B1"/>
    <w:rsid w:val="00355941"/>
    <w:rsid w:val="00363925"/>
    <w:rsid w:val="00363C62"/>
    <w:rsid w:val="00380F9E"/>
    <w:rsid w:val="00383162"/>
    <w:rsid w:val="00397DD1"/>
    <w:rsid w:val="003A2288"/>
    <w:rsid w:val="003A24F1"/>
    <w:rsid w:val="003C6B63"/>
    <w:rsid w:val="003C763E"/>
    <w:rsid w:val="003D43C3"/>
    <w:rsid w:val="003E22D7"/>
    <w:rsid w:val="003E34DE"/>
    <w:rsid w:val="003F2F1C"/>
    <w:rsid w:val="003F69D2"/>
    <w:rsid w:val="004204B1"/>
    <w:rsid w:val="00432EF9"/>
    <w:rsid w:val="004404DE"/>
    <w:rsid w:val="00447A94"/>
    <w:rsid w:val="00460517"/>
    <w:rsid w:val="00460D40"/>
    <w:rsid w:val="00467209"/>
    <w:rsid w:val="004800B9"/>
    <w:rsid w:val="004B0A39"/>
    <w:rsid w:val="004B1FF9"/>
    <w:rsid w:val="004C30A6"/>
    <w:rsid w:val="004F248C"/>
    <w:rsid w:val="005063A5"/>
    <w:rsid w:val="00520A0A"/>
    <w:rsid w:val="00522727"/>
    <w:rsid w:val="005242BB"/>
    <w:rsid w:val="00531F7D"/>
    <w:rsid w:val="005454DF"/>
    <w:rsid w:val="00547EED"/>
    <w:rsid w:val="00561B86"/>
    <w:rsid w:val="00562EF1"/>
    <w:rsid w:val="00567FB7"/>
    <w:rsid w:val="00570072"/>
    <w:rsid w:val="00572C70"/>
    <w:rsid w:val="00572F86"/>
    <w:rsid w:val="005A28C8"/>
    <w:rsid w:val="005A689B"/>
    <w:rsid w:val="005B74A5"/>
    <w:rsid w:val="005C3EAB"/>
    <w:rsid w:val="005E6A22"/>
    <w:rsid w:val="005F1BA1"/>
    <w:rsid w:val="005F3778"/>
    <w:rsid w:val="00612853"/>
    <w:rsid w:val="006244FC"/>
    <w:rsid w:val="006258FE"/>
    <w:rsid w:val="00630406"/>
    <w:rsid w:val="006354C8"/>
    <w:rsid w:val="006377A3"/>
    <w:rsid w:val="006517B9"/>
    <w:rsid w:val="00652610"/>
    <w:rsid w:val="00656740"/>
    <w:rsid w:val="00656D60"/>
    <w:rsid w:val="00657402"/>
    <w:rsid w:val="00657C4B"/>
    <w:rsid w:val="00663EB7"/>
    <w:rsid w:val="00664027"/>
    <w:rsid w:val="00672552"/>
    <w:rsid w:val="00674412"/>
    <w:rsid w:val="00675E86"/>
    <w:rsid w:val="00680971"/>
    <w:rsid w:val="00682A0E"/>
    <w:rsid w:val="006A106A"/>
    <w:rsid w:val="006A7ACD"/>
    <w:rsid w:val="006B1973"/>
    <w:rsid w:val="006B623C"/>
    <w:rsid w:val="006B6F2A"/>
    <w:rsid w:val="006D3D06"/>
    <w:rsid w:val="006E1E08"/>
    <w:rsid w:val="006F458E"/>
    <w:rsid w:val="00706F0C"/>
    <w:rsid w:val="007127BE"/>
    <w:rsid w:val="00727586"/>
    <w:rsid w:val="00731BFE"/>
    <w:rsid w:val="007322E1"/>
    <w:rsid w:val="00740781"/>
    <w:rsid w:val="007558DE"/>
    <w:rsid w:val="00757517"/>
    <w:rsid w:val="00773376"/>
    <w:rsid w:val="00774B6C"/>
    <w:rsid w:val="0079069F"/>
    <w:rsid w:val="007C3908"/>
    <w:rsid w:val="007C3E18"/>
    <w:rsid w:val="007C40C0"/>
    <w:rsid w:val="007C7BB6"/>
    <w:rsid w:val="007E56E5"/>
    <w:rsid w:val="007F4169"/>
    <w:rsid w:val="007F532B"/>
    <w:rsid w:val="007F6640"/>
    <w:rsid w:val="00810E77"/>
    <w:rsid w:val="0081771C"/>
    <w:rsid w:val="00824F44"/>
    <w:rsid w:val="008333CD"/>
    <w:rsid w:val="008406C6"/>
    <w:rsid w:val="008714CF"/>
    <w:rsid w:val="008905AB"/>
    <w:rsid w:val="008A1D35"/>
    <w:rsid w:val="008A4792"/>
    <w:rsid w:val="008B5846"/>
    <w:rsid w:val="008C12BB"/>
    <w:rsid w:val="008C4682"/>
    <w:rsid w:val="008D2935"/>
    <w:rsid w:val="008D3A92"/>
    <w:rsid w:val="008E0F8A"/>
    <w:rsid w:val="00912827"/>
    <w:rsid w:val="009132C8"/>
    <w:rsid w:val="00941F86"/>
    <w:rsid w:val="009439FC"/>
    <w:rsid w:val="009624E7"/>
    <w:rsid w:val="009640F7"/>
    <w:rsid w:val="00965060"/>
    <w:rsid w:val="00966957"/>
    <w:rsid w:val="00986CF3"/>
    <w:rsid w:val="00990F0F"/>
    <w:rsid w:val="00997289"/>
    <w:rsid w:val="009A6295"/>
    <w:rsid w:val="009B0184"/>
    <w:rsid w:val="009B4F63"/>
    <w:rsid w:val="009C5A7F"/>
    <w:rsid w:val="009D0415"/>
    <w:rsid w:val="009D276E"/>
    <w:rsid w:val="009D2E85"/>
    <w:rsid w:val="009E1E95"/>
    <w:rsid w:val="009F750E"/>
    <w:rsid w:val="00A07F2E"/>
    <w:rsid w:val="00A12795"/>
    <w:rsid w:val="00A22EAB"/>
    <w:rsid w:val="00A4465A"/>
    <w:rsid w:val="00A54A3F"/>
    <w:rsid w:val="00A851B7"/>
    <w:rsid w:val="00A85AE4"/>
    <w:rsid w:val="00A975E3"/>
    <w:rsid w:val="00AA4155"/>
    <w:rsid w:val="00AB0D96"/>
    <w:rsid w:val="00AB7CC5"/>
    <w:rsid w:val="00AC0642"/>
    <w:rsid w:val="00AC2A90"/>
    <w:rsid w:val="00AC3835"/>
    <w:rsid w:val="00AC5EBC"/>
    <w:rsid w:val="00AD7196"/>
    <w:rsid w:val="00AE23DD"/>
    <w:rsid w:val="00AE6731"/>
    <w:rsid w:val="00AF0CCC"/>
    <w:rsid w:val="00B03399"/>
    <w:rsid w:val="00B07801"/>
    <w:rsid w:val="00B10716"/>
    <w:rsid w:val="00B12F43"/>
    <w:rsid w:val="00B15D42"/>
    <w:rsid w:val="00B20A88"/>
    <w:rsid w:val="00B36812"/>
    <w:rsid w:val="00B50B38"/>
    <w:rsid w:val="00B678EC"/>
    <w:rsid w:val="00B77B91"/>
    <w:rsid w:val="00B95634"/>
    <w:rsid w:val="00B95662"/>
    <w:rsid w:val="00BA3DE5"/>
    <w:rsid w:val="00BB368F"/>
    <w:rsid w:val="00BB54AD"/>
    <w:rsid w:val="00BC3FB4"/>
    <w:rsid w:val="00BE2BB0"/>
    <w:rsid w:val="00BF7D2F"/>
    <w:rsid w:val="00C12BED"/>
    <w:rsid w:val="00C218F4"/>
    <w:rsid w:val="00C275A4"/>
    <w:rsid w:val="00C330EB"/>
    <w:rsid w:val="00C37282"/>
    <w:rsid w:val="00C40259"/>
    <w:rsid w:val="00C43C3D"/>
    <w:rsid w:val="00C60E41"/>
    <w:rsid w:val="00C6204C"/>
    <w:rsid w:val="00C77DA8"/>
    <w:rsid w:val="00C77E49"/>
    <w:rsid w:val="00C82FA7"/>
    <w:rsid w:val="00C91D81"/>
    <w:rsid w:val="00C9546C"/>
    <w:rsid w:val="00C96AE8"/>
    <w:rsid w:val="00CA26BD"/>
    <w:rsid w:val="00CB5660"/>
    <w:rsid w:val="00CB6F41"/>
    <w:rsid w:val="00CC14EA"/>
    <w:rsid w:val="00CD4278"/>
    <w:rsid w:val="00CE16C2"/>
    <w:rsid w:val="00CE250E"/>
    <w:rsid w:val="00CE54BC"/>
    <w:rsid w:val="00D121D4"/>
    <w:rsid w:val="00D1690E"/>
    <w:rsid w:val="00D20CD7"/>
    <w:rsid w:val="00D27318"/>
    <w:rsid w:val="00D51965"/>
    <w:rsid w:val="00D5526E"/>
    <w:rsid w:val="00D61C75"/>
    <w:rsid w:val="00D66A3D"/>
    <w:rsid w:val="00D70663"/>
    <w:rsid w:val="00D72142"/>
    <w:rsid w:val="00D754AA"/>
    <w:rsid w:val="00DA6ADF"/>
    <w:rsid w:val="00DB207E"/>
    <w:rsid w:val="00DB283B"/>
    <w:rsid w:val="00DB2976"/>
    <w:rsid w:val="00DC4B48"/>
    <w:rsid w:val="00DD0923"/>
    <w:rsid w:val="00DF4345"/>
    <w:rsid w:val="00DF5881"/>
    <w:rsid w:val="00E0529E"/>
    <w:rsid w:val="00E0744B"/>
    <w:rsid w:val="00E15AE7"/>
    <w:rsid w:val="00E214CE"/>
    <w:rsid w:val="00E22495"/>
    <w:rsid w:val="00E242DA"/>
    <w:rsid w:val="00E250F8"/>
    <w:rsid w:val="00E3239E"/>
    <w:rsid w:val="00E5190D"/>
    <w:rsid w:val="00E70079"/>
    <w:rsid w:val="00E82B7D"/>
    <w:rsid w:val="00E92D43"/>
    <w:rsid w:val="00E930B7"/>
    <w:rsid w:val="00E9715C"/>
    <w:rsid w:val="00EB4F97"/>
    <w:rsid w:val="00EC5A3E"/>
    <w:rsid w:val="00EF022D"/>
    <w:rsid w:val="00F12EDF"/>
    <w:rsid w:val="00F34129"/>
    <w:rsid w:val="00F62A52"/>
    <w:rsid w:val="00F64B05"/>
    <w:rsid w:val="00F67A3C"/>
    <w:rsid w:val="00F86D90"/>
    <w:rsid w:val="00FB07EC"/>
    <w:rsid w:val="00FB6C97"/>
    <w:rsid w:val="00FD230A"/>
    <w:rsid w:val="00FD490C"/>
    <w:rsid w:val="00FF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C3A7"/>
  <w15:chartTrackingRefBased/>
  <w15:docId w15:val="{26C9F802-38A9-4ECF-8A66-20FE2291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716"/>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7EC"/>
    <w:pPr>
      <w:ind w:left="720"/>
      <w:contextualSpacing/>
    </w:pPr>
  </w:style>
  <w:style w:type="paragraph" w:customStyle="1" w:styleId="EndNoteBibliographyTitle">
    <w:name w:val="EndNote Bibliography Title"/>
    <w:basedOn w:val="Normal"/>
    <w:link w:val="EndNoteBibliographyTitleChar"/>
    <w:rsid w:val="00A851B7"/>
    <w:pPr>
      <w:spacing w:after="0"/>
      <w:jc w:val="center"/>
    </w:pPr>
    <w:rPr>
      <w:rFonts w:cs="Helvetica"/>
      <w:noProof/>
    </w:rPr>
  </w:style>
  <w:style w:type="character" w:customStyle="1" w:styleId="EndNoteBibliographyTitleChar">
    <w:name w:val="EndNote Bibliography Title Char"/>
    <w:basedOn w:val="DefaultParagraphFont"/>
    <w:link w:val="EndNoteBibliographyTitle"/>
    <w:rsid w:val="00A851B7"/>
    <w:rPr>
      <w:rFonts w:ascii="Helvetica" w:hAnsi="Helvetica" w:cs="Helvetica"/>
      <w:noProof/>
      <w:sz w:val="20"/>
    </w:rPr>
  </w:style>
  <w:style w:type="paragraph" w:customStyle="1" w:styleId="EndNoteBibliography">
    <w:name w:val="EndNote Bibliography"/>
    <w:basedOn w:val="Normal"/>
    <w:link w:val="EndNoteBibliographyChar"/>
    <w:rsid w:val="00A851B7"/>
    <w:pPr>
      <w:spacing w:line="240" w:lineRule="auto"/>
    </w:pPr>
    <w:rPr>
      <w:rFonts w:cs="Helvetica"/>
      <w:noProof/>
    </w:rPr>
  </w:style>
  <w:style w:type="character" w:customStyle="1" w:styleId="EndNoteBibliographyChar">
    <w:name w:val="EndNote Bibliography Char"/>
    <w:basedOn w:val="DefaultParagraphFont"/>
    <w:link w:val="EndNoteBibliography"/>
    <w:rsid w:val="00A851B7"/>
    <w:rPr>
      <w:rFonts w:ascii="Helvetica" w:hAnsi="Helvetica" w:cs="Helvetica"/>
      <w:noProof/>
      <w:sz w:val="20"/>
    </w:rPr>
  </w:style>
  <w:style w:type="character" w:styleId="PlaceholderText">
    <w:name w:val="Placeholder Text"/>
    <w:basedOn w:val="DefaultParagraphFont"/>
    <w:uiPriority w:val="99"/>
    <w:semiHidden/>
    <w:rsid w:val="00E15AE7"/>
    <w:rPr>
      <w:color w:val="808080"/>
    </w:rPr>
  </w:style>
  <w:style w:type="paragraph" w:styleId="NoSpacing">
    <w:name w:val="No Spacing"/>
    <w:uiPriority w:val="1"/>
    <w:qFormat/>
    <w:rsid w:val="00706F0C"/>
    <w:pPr>
      <w:spacing w:after="0" w:line="240" w:lineRule="auto"/>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F8B7-D6FE-405F-95FD-4C4C26CE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7</Pages>
  <Words>6104</Words>
  <Characters>34795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Trainor,Patrick James</dc:creator>
  <cp:keywords/>
  <dc:description/>
  <cp:lastModifiedBy>Trainor,Patrick James</cp:lastModifiedBy>
  <cp:revision>247</cp:revision>
  <dcterms:created xsi:type="dcterms:W3CDTF">2017-11-04T14:42:00Z</dcterms:created>
  <dcterms:modified xsi:type="dcterms:W3CDTF">2017-11-28T20:22:00Z</dcterms:modified>
</cp:coreProperties>
</file>