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Subheading"/>
        <w:bidi w:val="0"/>
        <w:ind w:left="2160"/>
      </w:pP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 xml:space="preserve">Sumit Vadaviya 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Camunda BPM Expert, Corporate Trainer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Email : sumit.vadaviya@trainosoft.com</w:t>
      </w:r>
    </w:p>
    <w:p>
      <w:pPr>
        <w:pStyle w:val="Subheading"/>
        <w:bidi w:val="0"/>
      </w:pPr>
    </w:p>
    <w:p>
      <w:pPr>
        <w:pStyle w:val="Addressee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560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Canela Text Regular" w:cs="Canela Text Regular" w:hAnsi="Canela Text Regular" w:eastAsia="Canela Text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5"/>
          <w:sz w:val="64"/>
          <w:szCs w:val="64"/>
          <w:u w:val="none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</w:t>
      </w:r>
    </w:p>
    <w:p>
      <w:pPr>
        <w:pStyle w:val="Addressee"/>
        <w:ind w:left="283" w:hanging="283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n this session we will configure camunda maven templates(archetypes) with Eclipse IDE. Camunda</w:t>
      </w:r>
      <w:r>
        <w:rPr>
          <w:sz w:val="28"/>
          <w:szCs w:val="28"/>
          <w:rtl w:val="0"/>
          <w:lang w:val="en-US"/>
        </w:rPr>
        <w:t xml:space="preserve"> provide several project templates for Maven, which are al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703072</wp:posOffset>
                </wp:positionH>
                <wp:positionV relativeFrom="page">
                  <wp:posOffset>115139</wp:posOffset>
                </wp:positionV>
                <wp:extent cx="5799517" cy="75969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517" cy="7596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129105"/>
                            <a:satOff val="4094"/>
                            <a:lumOff val="-1696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bidi w:val="0"/>
                            </w:pPr>
                          </w:p>
                          <w:p>
                            <w:pPr>
                              <w:pStyle w:val="Label Dark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ab/>
                              <w:t xml:space="preserve">  Camunda Maven Project Templates(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</w:rPr>
                              <w:t>Archetypes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>)</w:t>
                            </w:r>
                          </w:p>
                          <w:p>
                            <w:pPr>
                              <w:pStyle w:val="Label Dark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5.4pt;margin-top:9.1pt;width:456.7pt;height:59.8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80A2B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bidi w:val="0"/>
                      </w:pPr>
                    </w:p>
                    <w:p>
                      <w:pPr>
                        <w:pStyle w:val="Label Dark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ab/>
                        <w:t xml:space="preserve">  Camunda Maven Project Templates(</w:t>
                      </w:r>
                      <w:r>
                        <w:rPr>
                          <w:rFonts w:cs="Arial Unicode MS" w:eastAsia="Arial Unicode MS"/>
                          <w:rtl w:val="0"/>
                        </w:rPr>
                        <w:t>Archetypes</w:t>
                      </w: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>)</w:t>
                      </w:r>
                    </w:p>
                    <w:p>
                      <w:pPr>
                        <w:pStyle w:val="Label Dark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>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sz w:val="28"/>
          <w:szCs w:val="28"/>
          <w:rtl w:val="0"/>
          <w:lang w:val="en-US"/>
        </w:rPr>
        <w:t>so called Archetypes. They enable a quickstart for developing process applications using the Camunda BPM platform.</w:t>
      </w:r>
    </w:p>
    <w:p>
      <w:pPr>
        <w:pStyle w:val="Subheading"/>
        <w:bidi w:val="0"/>
        <w:ind w:left="2160"/>
      </w:pPr>
    </w:p>
    <w:p>
      <w:pPr>
        <w:pStyle w:val="Body 4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Available Camunda Maven Templates</w:t>
      </w:r>
    </w:p>
    <w:p>
      <w:pPr>
        <w:pStyle w:val="Body 4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 </w:t>
      </w:r>
    </w:p>
    <w:tbl>
      <w:tblPr>
        <w:tblW w:w="9010" w:type="dxa"/>
        <w:jc w:val="left"/>
        <w:tblInd w:w="108" w:type="dxa"/>
        <w:tblBorders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  <w:insideH w:val="single" w:color="5e5f5f" w:sz="4" w:space="0" w:shadow="0" w:frame="0"/>
          <w:insideV w:val="single" w:color="5e5f5f" w:sz="4" w:space="0" w:shadow="0" w:frame="0"/>
        </w:tblBorders>
        <w:shd w:val="clear" w:color="auto" w:fill="auto"/>
        <w:tblLayout w:type="fixed"/>
      </w:tblPr>
      <w:tblGrid>
        <w:gridCol w:w="2113"/>
        <w:gridCol w:w="6897"/>
      </w:tblGrid>
      <w:tr>
        <w:tblPrEx>
          <w:shd w:val="clear" w:color="auto" w:fill="auto"/>
        </w:tblPrEx>
        <w:trPr>
          <w:trHeight w:val="355" w:hRule="atLeast"/>
          <w:tblHeader/>
        </w:trPr>
        <w:tc>
          <w:tcPr>
            <w:tcW w:type="dxa" w:w="2113"/>
            <w:tcBorders>
              <w:top w:val="single" w:color="5e5f5f" w:sz="4" w:space="0" w:shadow="0" w:frame="0"/>
              <w:left w:val="single" w:color="5e5f5f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Proxima Nova" w:hAnsi="Proxima Nova"/>
                <w:b w:val="1"/>
                <w:bCs w:val="1"/>
                <w:sz w:val="28"/>
                <w:szCs w:val="28"/>
                <w:shd w:val="clear" w:color="auto" w:fill="ffffff"/>
                <w:rtl w:val="0"/>
              </w:rPr>
              <w:t>Archetype</w:t>
            </w:r>
          </w:p>
        </w:tc>
        <w:tc>
          <w:tcPr>
            <w:tcW w:type="dxa" w:w="6896"/>
            <w:tcBorders>
              <w:top w:val="single" w:color="5e5f5f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5e5f5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Proxima Nova" w:hAnsi="Proxima Nova"/>
                <w:b w:val="1"/>
                <w:bCs w:val="1"/>
                <w:sz w:val="28"/>
                <w:szCs w:val="28"/>
                <w:shd w:val="clear" w:color="auto" w:fill="ffffff"/>
                <w:rtl w:val="0"/>
              </w:rPr>
              <w:t>Description</w:t>
            </w:r>
          </w:p>
        </w:tc>
      </w:tr>
      <w:tr>
        <w:tblPrEx>
          <w:shd w:val="clear" w:color="auto" w:fill="auto"/>
        </w:tblPrEx>
        <w:trPr>
          <w:trHeight w:val="1115" w:hRule="atLeast"/>
        </w:trPr>
        <w:tc>
          <w:tcPr>
            <w:tcW w:type="dxa" w:w="2113"/>
            <w:tcBorders>
              <w:top w:val="single" w:color="000000" w:sz="8" w:space="0" w:shadow="0" w:frame="0"/>
              <w:left w:val="single" w:color="5e5f5f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38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rtl w:val="0"/>
              </w:rPr>
              <w:t>Camunda Cockpit Plugin</w:t>
            </w:r>
          </w:p>
        </w:tc>
        <w:tc>
          <w:tcPr>
            <w:tcW w:type="dxa" w:w="68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5e5f5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38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rtl w:val="0"/>
              </w:rPr>
              <w:t>Plugin for Camunda Cockpit, contains REST-Backend, MyBatis database query, HTML and JavaScript frontend, Ant build script for one-click deployment</w:t>
            </w:r>
          </w:p>
        </w:tc>
      </w:tr>
      <w:tr>
        <w:tblPrEx>
          <w:shd w:val="clear" w:color="auto" w:fill="auto"/>
        </w:tblPrEx>
        <w:trPr>
          <w:trHeight w:val="3070" w:hRule="atLeast"/>
        </w:trPr>
        <w:tc>
          <w:tcPr>
            <w:tcW w:type="dxa" w:w="2113"/>
            <w:tcBorders>
              <w:top w:val="single" w:color="000000" w:sz="4" w:space="0" w:shadow="0" w:frame="0"/>
              <w:left w:val="single" w:color="5e5f5f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38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rtl w:val="0"/>
              </w:rPr>
              <w:t>Process Application (EJB, WAR)</w:t>
            </w:r>
          </w:p>
        </w:tc>
        <w:tc>
          <w:tcPr>
            <w:tcW w:type="dxa" w:w="6896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5e5f5f" w:sz="4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rtl w:val="0"/>
              </w:rPr>
              <w:t>Process application that uses a shared Camunda BPM engine in a Java EE Container, e.g. JBoss Wildfly. Contains: Camunda EJB Client, Camunda CDI Integration, BPMN Process, Java Delegate as CDI bean, HTML5- &amp; JSF-based start and task forms, configuration for JPA (Hibernate), JUnit Test with in-memory engine and visual process test coverage, Arquillian Test for JBoss AS7 &amp; Wildfly, Maven Plugins or Ant build script for one-click deployment in Eclipse.</w:t>
            </w:r>
          </w:p>
        </w:tc>
      </w:tr>
      <w:tr>
        <w:tblPrEx>
          <w:shd w:val="clear" w:color="auto" w:fill="auto"/>
        </w:tblPrEx>
        <w:trPr>
          <w:trHeight w:val="2050" w:hRule="atLeast"/>
        </w:trPr>
        <w:tc>
          <w:tcPr>
            <w:tcW w:type="dxa" w:w="2113"/>
            <w:tcBorders>
              <w:top w:val="single" w:color="000000" w:sz="4" w:space="0" w:shadow="0" w:frame="0"/>
              <w:left w:val="single" w:color="5e5f5f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38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rtl w:val="0"/>
              </w:rPr>
              <w:t>Process Application (Servlet, WAR)</w:t>
            </w:r>
          </w:p>
        </w:tc>
        <w:tc>
          <w:tcPr>
            <w:tcW w:type="dxa" w:w="6896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5e5f5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shd w:val="clear" w:color="auto" w:fill="ffffff"/>
                <w:rtl w:val="0"/>
              </w:rPr>
              <w:t>Process application that uses a shared Camunda BPM engine in a Servlet Container, e.g. Apache Tomcat. Contains: Servlet Process Application, BPMN Process, Java Delegate, HTML5-based start and task forms, JUnit Test with in-memory engine, Maven Plugins or Ant build script for one-click deployment in Eclipse</w:t>
            </w:r>
          </w:p>
        </w:tc>
      </w:tr>
      <w:tr>
        <w:tblPrEx>
          <w:shd w:val="clear" w:color="auto" w:fill="auto"/>
        </w:tblPrEx>
        <w:trPr>
          <w:trHeight w:val="2250" w:hRule="atLeast"/>
        </w:trPr>
        <w:tc>
          <w:tcPr>
            <w:tcW w:type="dxa" w:w="2113"/>
            <w:tcBorders>
              <w:top w:val="single" w:color="000000" w:sz="4" w:space="0" w:shadow="0" w:frame="0"/>
              <w:left w:val="single" w:color="5e5f5f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shd w:val="clear" w:color="auto" w:fill="ffffff"/>
                <w:rtl w:val="0"/>
                <w14:shadow w14:sx="100000" w14:sy="100000" w14:kx="0" w14:ky="0" w14:algn="tl" w14:blurRad="0" w14:dist="60241" w14:dir="9693903">
                  <w14:srgbClr w14:val="FFFFFF">
                    <w14:alpha w14:val="0"/>
                  </w14:srgbClr>
                </w14:shadow>
              </w:rPr>
              <w:t>Camunda Spring Boot Application</w:t>
            </w:r>
          </w:p>
        </w:tc>
        <w:tc>
          <w:tcPr>
            <w:tcW w:type="dxa" w:w="6896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5e5f5f" w:sz="4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38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rtl w:val="0"/>
              </w:rPr>
              <w:t>Application that uses the Camunda Spring Boot Starter. Contains: Spring Boot Process Application, Camunda Webapps, BPMN Process, Java Delegate, HTML5-based start and task forms, JUnit Test with in-memory engine, Maven Plugins for packing as an executable application.</w:t>
            </w:r>
          </w:p>
        </w:tc>
      </w:tr>
      <w:tr>
        <w:tblPrEx>
          <w:shd w:val="clear" w:color="auto" w:fill="auto"/>
        </w:tblPrEx>
        <w:trPr>
          <w:trHeight w:val="1710" w:hRule="atLeast"/>
        </w:trPr>
        <w:tc>
          <w:tcPr>
            <w:tcW w:type="dxa" w:w="2113"/>
            <w:tcBorders>
              <w:top w:val="single" w:color="000000" w:sz="4" w:space="0" w:shadow="0" w:frame="0"/>
              <w:left w:val="single" w:color="5e5f5f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shd w:val="clear" w:color="auto" w:fill="ffffff"/>
                <w:rtl w:val="0"/>
              </w:rPr>
              <w:t>Camunda Spring Boot Application with Demo Users</w:t>
            </w:r>
          </w:p>
        </w:tc>
        <w:tc>
          <w:tcPr>
            <w:tcW w:type="dxa" w:w="6896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5e5f5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380" w:lineRule="atLeast"/>
              <w:ind w:left="0" w:right="0" w:firstLine="0"/>
              <w:jc w:val="left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rtl w:val="0"/>
                <w:lang w:val="en-US"/>
              </w:rPr>
              <w:t>Same as the</w:t>
            </w:r>
            <w:r>
              <w:rPr>
                <w:rFonts w:ascii="Proxima Nova" w:hAnsi="Proxima Nova" w:hint="default"/>
                <w:sz w:val="28"/>
                <w:szCs w:val="28"/>
                <w:rtl w:val="0"/>
              </w:rPr>
              <w:t> </w:t>
            </w:r>
            <w:r>
              <w:rPr>
                <w:rFonts w:ascii="Proxima Nova" w:hAnsi="Proxima Nova"/>
                <w:i w:val="1"/>
                <w:iCs w:val="1"/>
                <w:sz w:val="28"/>
                <w:szCs w:val="28"/>
                <w:rtl w:val="0"/>
                <w:lang w:val="en-US"/>
              </w:rPr>
              <w:t>Spring Boot Application</w:t>
            </w:r>
            <w:r>
              <w:rPr>
                <w:rFonts w:ascii="Proxima Nova" w:hAnsi="Proxima Nova" w:hint="default"/>
                <w:sz w:val="28"/>
                <w:szCs w:val="28"/>
                <w:rtl w:val="0"/>
              </w:rPr>
              <w:t> </w:t>
            </w:r>
            <w:r>
              <w:rPr>
                <w:rFonts w:ascii="Proxima Nova" w:hAnsi="Proxima Nova"/>
                <w:sz w:val="28"/>
                <w:szCs w:val="28"/>
                <w:rtl w:val="0"/>
                <w:lang w:val="en-US"/>
              </w:rPr>
              <w:t>archetype and additionally creates demo users and groups for easy start with the Camunda Webapps (use</w:t>
            </w:r>
            <w:r>
              <w:rPr>
                <w:rFonts w:ascii="Proxima Nova" w:hAnsi="Proxima Nova" w:hint="default"/>
                <w:sz w:val="28"/>
                <w:szCs w:val="28"/>
                <w:rtl w:val="0"/>
              </w:rPr>
              <w:t> </w:t>
            </w:r>
            <w:r>
              <w:rPr>
                <w:rFonts w:ascii="Proxima Nova" w:hAnsi="Proxima Nova"/>
                <w:sz w:val="28"/>
                <w:szCs w:val="28"/>
                <w:rtl w:val="0"/>
                <w:lang w:val="de-DE"/>
              </w:rPr>
              <w:t>demo/demo</w:t>
            </w:r>
            <w:r>
              <w:rPr>
                <w:rFonts w:ascii="Proxima Nova" w:hAnsi="Proxima Nova" w:hint="default"/>
                <w:sz w:val="28"/>
                <w:szCs w:val="28"/>
                <w:rtl w:val="0"/>
              </w:rPr>
              <w:t> </w:t>
            </w:r>
            <w:r>
              <w:rPr>
                <w:rFonts w:ascii="Proxima Nova" w:hAnsi="Proxima Nova"/>
                <w:sz w:val="28"/>
                <w:szCs w:val="28"/>
                <w:rtl w:val="0"/>
                <w:lang w:val="en-US"/>
              </w:rPr>
              <w:t>to log in).</w:t>
            </w:r>
          </w:p>
        </w:tc>
      </w:tr>
      <w:tr>
        <w:tblPrEx>
          <w:shd w:val="clear" w:color="auto" w:fill="auto"/>
        </w:tblPrEx>
        <w:trPr>
          <w:trHeight w:val="1490" w:hRule="atLeast"/>
        </w:trPr>
        <w:tc>
          <w:tcPr>
            <w:tcW w:type="dxa" w:w="2113"/>
            <w:tcBorders>
              <w:top w:val="single" w:color="000000" w:sz="4" w:space="0" w:shadow="0" w:frame="0"/>
              <w:left w:val="single" w:color="5e5f5f" w:sz="4" w:space="0" w:shadow="0" w:frame="0"/>
              <w:bottom w:val="single" w:color="5e5f5f" w:sz="4" w:space="0" w:shadow="0" w:frame="0"/>
              <w:right w:val="single" w:color="000000" w:sz="8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shd w:val="clear" w:color="auto" w:fill="ffffff"/>
                <w:rtl w:val="0"/>
                <w14:shadow w14:sx="100000" w14:sy="100000" w14:kx="0" w14:ky="0" w14:algn="tl" w14:blurRad="0" w14:dist="60241" w14:dir="9693903">
                  <w14:srgbClr w14:val="FFFFFF">
                    <w14:alpha w14:val="0"/>
                  </w14:srgbClr>
                </w14:shadow>
              </w:rPr>
              <w:t>Process Engine Plugin</w:t>
            </w:r>
          </w:p>
        </w:tc>
        <w:tc>
          <w:tcPr>
            <w:tcW w:type="dxa" w:w="6896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5e5f5f" w:sz="4" w:space="0" w:shadow="0" w:frame="0"/>
              <w:right w:val="single" w:color="5e5f5f" w:sz="4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380" w:lineRule="atLeast"/>
              <w:ind w:left="0" w:right="0" w:firstLine="0"/>
              <w:jc w:val="left"/>
              <w:rPr>
                <w:rtl w:val="0"/>
              </w:rPr>
            </w:pPr>
            <w:r>
              <w:rPr>
                <w:rFonts w:ascii="Proxima Nova" w:hAnsi="Proxima Nova"/>
                <w:sz w:val="28"/>
                <w:szCs w:val="28"/>
                <w:rtl w:val="0"/>
              </w:rPr>
              <w:t>An example for a process engine plugin. Contains: Process engine plugin, BPMN Parse Listener that is registered via the plugin, Task Listener that is added to every user task, JUnit Test with in-memory engine.</w:t>
            </w:r>
          </w:p>
        </w:tc>
      </w:tr>
    </w:tbl>
    <w:p>
      <w:pPr>
        <w:pStyle w:val="Body 4"/>
        <w:rPr>
          <w:b w:val="1"/>
          <w:bCs w:val="1"/>
          <w:sz w:val="28"/>
          <w:szCs w:val="28"/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4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Adding Maven Templates in Eclipse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Navigate to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File -&gt; New -&gt; Project -&gt; Maven -&gt; Maven Project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431800</wp:posOffset>
            </wp:positionV>
            <wp:extent cx="5727700" cy="36901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0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Hit the </w:t>
      </w: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Next &gt;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button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251459</wp:posOffset>
            </wp:positionV>
            <wp:extent cx="5374293" cy="34624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93" cy="34624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Hit the </w:t>
      </w: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Next &gt;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button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36901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0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Hit the </w:t>
      </w: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Configure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button.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36504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0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Hit the </w:t>
      </w: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Add Remote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Catalog button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23510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1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outline w:val="0"/>
          <w:color w:val="0432ff"/>
          <w:sz w:val="28"/>
          <w:szCs w:val="28"/>
          <w:shd w:val="clear" w:color="auto" w:fill="ffffff"/>
          <w:rtl w:val="0"/>
          <w14:textFill>
            <w14:solidFill>
              <w14:srgbClr w14:val="0433FF"/>
            </w14:solidFill>
          </w14:textFill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</w:rPr>
        <w:t>Add archetype catalog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</w:t>
      </w:r>
      <w:r>
        <w:rPr>
          <w:rStyle w:val="Hyperlink.0"/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instrText xml:space="preserve"> HYPERLINK "https://app.camunda.com/nexus/content/repositories/camunda-bpm/?__hstc=12929896.cddee92a584d5f140e89319c05c9729d.1595566596688.1598517889161.1598639214378.32&amp;__hssc=12929896.2.1598639214378&amp;__hsfp=1668083305"</w:instrText>
      </w:r>
      <w:r>
        <w:rPr>
          <w:rStyle w:val="Hyperlink.0"/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Proxima Nova" w:hAnsi="Proxima Nova"/>
          <w:sz w:val="28"/>
          <w:szCs w:val="28"/>
          <w:shd w:val="clear" w:color="auto" w:fill="ffffff"/>
          <w:rtl w:val="0"/>
          <w:lang w:val="pt-PT"/>
        </w:rPr>
        <w:t>https://app.camunda.com/nexus/content/repositories/camunda-bpm/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outline w:val="0"/>
          <w:color w:val="0432ff"/>
          <w:sz w:val="28"/>
          <w:szCs w:val="28"/>
          <w:shd w:val="clear" w:color="auto" w:fill="ffffff"/>
          <w:rtl w:val="0"/>
          <w14:textFill>
            <w14:solidFill>
              <w14:srgbClr w14:val="0433FF"/>
            </w14:solidFill>
          </w14:textFill>
        </w:rPr>
      </w:pPr>
      <w:r>
        <w:rPr>
          <w:rFonts w:ascii="Proxima Nova" w:cs="Proxima Nova" w:hAnsi="Proxima Nova" w:eastAsia="Proxima Nova"/>
          <w:outline w:val="0"/>
          <w:color w:val="0432ff"/>
          <w:sz w:val="28"/>
          <w:szCs w:val="28"/>
          <w:shd w:val="clear" w:color="auto" w:fill="ffffff"/>
          <w:rtl w:val="0"/>
          <w14:textFill>
            <w14:solidFill>
              <w14:srgbClr w14:val="0433FF"/>
            </w14:solidFill>
          </w14:textFill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36480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80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outline w:val="0"/>
          <w:color w:val="0432ff"/>
          <w:sz w:val="28"/>
          <w:szCs w:val="28"/>
          <w:shd w:val="clear" w:color="auto" w:fill="ffffff"/>
          <w:rtl w:val="0"/>
          <w14:textFill>
            <w14:solidFill>
              <w14:srgbClr w14:val="0433FF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outline w:val="0"/>
          <w:color w:val="0432ff"/>
          <w:sz w:val="28"/>
          <w:szCs w:val="28"/>
          <w:shd w:val="clear" w:color="auto" w:fill="ffffff"/>
          <w:rtl w:val="0"/>
          <w14:textFill>
            <w14:solidFill>
              <w14:srgbClr w14:val="0433FF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Hit the </w:t>
      </w: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Apply and Close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button.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Now you should be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Now you should be able to use the archetypes when creating a new Maven project in Eclipse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Lets verify Installed Maven Archetypes.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tl w:val="0"/>
        </w:rPr>
      </w:pP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50012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01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1900" w:h="16840" w:orient="portrait"/>
      <w:pgMar w:top="720" w:right="1440" w:bottom="2300" w:left="1440" w:header="700" w:footer="70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roxima Nova">
    <w:charset w:val="00"/>
    <w:family w:val="roman"/>
    <w:pitch w:val="default"/>
  </w:font>
  <w:font w:name="Proxima Nova Medium">
    <w:charset w:val="00"/>
    <w:family w:val="roman"/>
    <w:pitch w:val="default"/>
  </w:font>
  <w:font w:name="Comic Sans MS">
    <w:charset w:val="00"/>
    <w:family w:val="roman"/>
    <w:pitch w:val="default"/>
  </w:font>
  <w:font w:name="Canela Text Regular">
    <w:charset w:val="00"/>
    <w:family w:val="roman"/>
    <w:pitch w:val="default"/>
  </w:font>
  <w:font w:name="Helvetica Neue">
    <w:charset w:val="00"/>
    <w:family w:val="roman"/>
    <w:pitch w:val="default"/>
  </w:font>
  <w:font w:name="Canela Deck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Addressee">
    <w:name w:val="Addressee"/>
    <w:next w:val="Sub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heading">
    <w:name w:val="Subheading"/>
    <w:next w:val="Body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Proxima Nova Medium" w:cs="Arial Unicode MS" w:hAnsi="Proxima Nova Medium" w:eastAsia="Arial Unicode MS"/>
      <w:b w:val="0"/>
      <w:bCs w:val="0"/>
      <w:i w:val="0"/>
      <w:iCs w:val="0"/>
      <w:caps w:val="1"/>
      <w:strike w:val="0"/>
      <w:dstrike w:val="0"/>
      <w:outline w:val="0"/>
      <w:color w:val="49494b"/>
      <w:spacing w:val="9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4A4A4B"/>
        </w14:solidFill>
      </w14:textFill>
    </w:rPr>
  </w:style>
  <w:style w:type="paragraph" w:styleId="Body 4">
    <w:name w:val="Body 4"/>
    <w:next w:val="Body 4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9"/>
    </w:pPr>
    <w:rPr>
      <w:rFonts w:ascii="Canela Text Regular" w:cs="Canela Text Regular" w:hAnsi="Canela Text Regular" w:eastAsia="Canela T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 Dark">
    <w:name w:val="Label Dark"/>
    <w:next w:val="Label Dark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nela Deck Bold" w:cs="Canela Deck Bold" w:hAnsi="Canela Deck Bold" w:eastAsia="Canela Deck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outline w:val="0"/>
      <w:color w:val="0432ff"/>
      <w14:textFill>
        <w14:solidFill>
          <w14:srgbClr w14:val="0433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9_PersonalLetter">
  <a:themeElements>
    <a:clrScheme name="29_PersonalLetter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B9CAD3"/>
      </a:accent1>
      <a:accent2>
        <a:srgbClr val="8CBAD7"/>
      </a:accent2>
      <a:accent3>
        <a:srgbClr val="B5AFC4"/>
      </a:accent3>
      <a:accent4>
        <a:srgbClr val="E8A6B1"/>
      </a:accent4>
      <a:accent5>
        <a:srgbClr val="FF8A6E"/>
      </a:accent5>
      <a:accent6>
        <a:srgbClr val="E2CF91"/>
      </a:accent6>
      <a:hlink>
        <a:srgbClr val="0000FF"/>
      </a:hlink>
      <a:folHlink>
        <a:srgbClr val="FF00FF"/>
      </a:folHlink>
    </a:clrScheme>
    <a:fontScheme name="29_PersonalLetter">
      <a:majorFont>
        <a:latin typeface="Canela Deck Bold"/>
        <a:ea typeface="Canela Deck Bold"/>
        <a:cs typeface="Canela Deck Bold"/>
      </a:majorFont>
      <a:minorFont>
        <a:latin typeface="Canela Text Medium"/>
        <a:ea typeface="Canela Text Medium"/>
        <a:cs typeface="Canela Text Medium"/>
      </a:minorFont>
    </a:fontScheme>
    <a:fmtScheme name="29_PersonalLett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15431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Canela Deck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rgbClr val="EF897B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roxima Nova"/>
            <a:ea typeface="Proxima Nova"/>
            <a:cs typeface="Proxima Nova"/>
            <a:sym typeface="Proxima Nov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