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Addressee"/>
        <w:ind w:left="2443" w:hanging="283"/>
        <w:jc w:val="both"/>
        <w:rPr>
          <w:sz w:val="28"/>
          <w:szCs w:val="28"/>
        </w:rPr>
      </w:pPr>
    </w:p>
    <w:p>
      <w:pPr>
        <w:pStyle w:val="Addressee"/>
        <w:ind w:left="2443" w:hanging="283"/>
        <w:jc w:val="both"/>
        <w:rPr>
          <w:sz w:val="28"/>
          <w:szCs w:val="28"/>
        </w:rPr>
      </w:pPr>
    </w:p>
    <w:p>
      <w:pPr>
        <w:pStyle w:val="Addressee"/>
        <w:ind w:left="2443" w:hanging="283"/>
        <w:jc w:val="both"/>
        <w:rPr>
          <w:sz w:val="28"/>
          <w:szCs w:val="28"/>
        </w:rPr>
      </w:pPr>
    </w:p>
    <w:p>
      <w:pPr>
        <w:pStyle w:val="Subheading"/>
        <w:bidi w:val="0"/>
        <w:ind w:left="2160"/>
      </w:pPr>
    </w:p>
    <w:p>
      <w:pPr>
        <w:pStyle w:val="Addressee"/>
        <w:jc w:val="both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  <w:lang w:val="en-US"/>
        </w:rPr>
        <w:t xml:space="preserve">Sumit Vadaviya </w:t>
      </w:r>
    </w:p>
    <w:p>
      <w:pPr>
        <w:pStyle w:val="Addressee"/>
        <w:jc w:val="both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  <w:lang w:val="en-US"/>
        </w:rPr>
        <w:t>Camunda BPM Expert, Corporate Trainer</w:t>
      </w:r>
    </w:p>
    <w:p>
      <w:pPr>
        <w:pStyle w:val="Addressee"/>
        <w:jc w:val="both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  <w:lang w:val="en-US"/>
        </w:rPr>
        <w:t>Email : sumit.vadaviya@trainosoft.com</w:t>
      </w:r>
    </w:p>
    <w:p>
      <w:pPr>
        <w:pStyle w:val="Subheading"/>
        <w:bidi w:val="0"/>
      </w:pPr>
    </w:p>
    <w:p>
      <w:pPr>
        <w:pStyle w:val="Addressee"/>
        <w:keepNext w:val="1"/>
        <w:keepLines w:val="0"/>
        <w:pageBreakBefore w:val="0"/>
        <w:framePr w:hSpace="0" w:hAnchor="text" w:vAnchor="text" w:wrap="around" w:dropCap="drop" w:lines="2"/>
        <w:widowControl w:val="1"/>
        <w:pBdr>
          <w:bottom w:val="nil"/>
          <w:right w:val="nil"/>
        </w:pBdr>
        <w:shd w:val="clear" w:color="auto" w:fill="auto"/>
        <w:suppressAutoHyphens w:val="0"/>
        <w:bidi w:val="0"/>
        <w:spacing w:before="0" w:after="0" w:line="560" w:lineRule="exact"/>
        <w:ind w:left="0" w:right="0" w:firstLine="0"/>
        <w:jc w:val="both"/>
        <w:outlineLvl w:val="9"/>
        <w:textAlignment w:val="baseline"/>
        <w:rPr>
          <w:rtl w:val="0"/>
        </w:rPr>
      </w:pPr>
      <w:r>
        <w:rPr>
          <w:rFonts w:ascii="Canela Text Regular" w:cs="Canela Text Regular" w:hAnsi="Canela Text Regular" w:eastAsia="Canela Text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5"/>
          <w:sz w:val="64"/>
          <w:szCs w:val="64"/>
          <w:u w:val="none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I</w:t>
      </w:r>
    </w:p>
    <w:p>
      <w:pPr>
        <w:pStyle w:val="Addressee"/>
        <w:ind w:left="283" w:hanging="283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n this session we will have quick overview of camunda Admin web application.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Helvetica" w:cs="Helvetica" w:hAnsi="Helvetica" w:eastAsia="Helvetica"/>
          <w:outline w:val="0"/>
          <w:color w:val="555555"/>
          <w:sz w:val="32"/>
          <w:szCs w:val="32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ascii="Proxima Nova" w:hAnsi="Proxima Nova"/>
          <w:outline w:val="0"/>
          <w:color w:val="000000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Camunda </w:t>
      </w:r>
      <w:r>
        <w:rPr>
          <w:rFonts w:ascii="Proxima Nova" w:hAnsi="Proxima Nova"/>
          <w:outline w:val="0"/>
          <w:color w:val="000000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Admin is </w:t>
      </w: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703072</wp:posOffset>
                </wp:positionH>
                <wp:positionV relativeFrom="page">
                  <wp:posOffset>115139</wp:posOffset>
                </wp:positionV>
                <wp:extent cx="5799517" cy="75969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9517" cy="7596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hueOff val="129105"/>
                            <a:satOff val="4094"/>
                            <a:lumOff val="-16966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 Dark"/>
                              <w:bidi w:val="0"/>
                            </w:pPr>
                          </w:p>
                          <w:p>
                            <w:pPr>
                              <w:pStyle w:val="Label Dark"/>
                              <w:bidi w:val="0"/>
                            </w:pPr>
                            <w:r>
                              <w:rPr>
                                <w:rFonts w:cs="Arial Unicode MS" w:eastAsia="Arial Unicode MS"/>
                                <w:rtl w:val="0"/>
                                <w:lang w:val="en-US"/>
                              </w:rPr>
                              <w:t>Camunda Web Application (Admin)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55.4pt;margin-top:9.1pt;width:456.7pt;height:59.8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80A2B6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 Dark"/>
                        <w:bidi w:val="0"/>
                      </w:pPr>
                    </w:p>
                    <w:p>
                      <w:pPr>
                        <w:pStyle w:val="Label Dark"/>
                        <w:bidi w:val="0"/>
                      </w:pPr>
                      <w:r>
                        <w:rPr>
                          <w:rFonts w:cs="Arial Unicode MS" w:eastAsia="Arial Unicode MS"/>
                          <w:rtl w:val="0"/>
                          <w:lang w:val="en-US"/>
                        </w:rPr>
                        <w:t>Camunda Web Application (Admin)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rFonts w:ascii="Proxima Nova" w:hAnsi="Proxima Nova"/>
          <w:outline w:val="0"/>
          <w:color w:val="000000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an application that allows you to configure users and groups</w:t>
      </w:r>
      <w:r>
        <w:rPr>
          <w:rFonts w:ascii="Proxima Nova" w:hAnsi="Proxima Nova"/>
          <w:outline w:val="0"/>
          <w:color w:val="000000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, tenants,</w:t>
      </w:r>
      <w:r>
        <w:rPr>
          <w:rFonts w:ascii="Proxima Nova" w:hAnsi="Proxima Nova"/>
          <w:outline w:val="0"/>
          <w:color w:val="000000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 authorizations</w:t>
      </w:r>
      <w:r>
        <w:rPr>
          <w:rFonts w:ascii="Helvetica" w:hAnsi="Helvetica"/>
          <w:outline w:val="0"/>
          <w:color w:val="555555"/>
          <w:sz w:val="32"/>
          <w:szCs w:val="32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.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555555"/>
          <w:sz w:val="32"/>
          <w:szCs w:val="32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555555"/>
          <w:sz w:val="32"/>
          <w:szCs w:val="32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555555"/>
          <w:sz w:val="32"/>
          <w:szCs w:val="32"/>
          <w:shd w:val="clear" w:color="auto" w:fill="ffffff"/>
          <w:rtl w:val="0"/>
          <w14:textFill>
            <w14:solidFill>
              <w14:srgbClr w14:val="555555"/>
            </w14:solidFill>
          </w14:textFill>
        </w:rPr>
        <w:drawing>
          <wp:inline distT="0" distB="0" distL="0" distR="0">
            <wp:extent cx="5727573" cy="3267654"/>
            <wp:effectExtent l="0" t="0" r="0" b="0"/>
            <wp:docPr id="1073741825" name="officeArt object" descr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46.png" descr="image46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2676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1"/>
        </w:numPr>
        <w:shd w:val="clear" w:color="auto" w:fill="auto"/>
        <w:suppressAutoHyphens w:val="0"/>
        <w:bidi w:val="0"/>
        <w:spacing w:before="0" w:after="0" w:line="276" w:lineRule="auto"/>
        <w:ind w:right="0"/>
        <w:jc w:val="both"/>
        <w:outlineLvl w:val="9"/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Login to camunda welcome app and navigate to Admin application.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URL: </w:t>
      </w:r>
      <w:r>
        <w:rPr>
          <w:rStyle w:val="Hyperlink.0"/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Style w:val="Hyperlink.0"/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instrText xml:space="preserve"> HYPERLINK "http://localhost:8081/camunda"</w:instrText>
      </w:r>
      <w:r>
        <w:rPr>
          <w:rStyle w:val="Hyperlink.0"/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fldChar w:fldCharType="separate" w:fldLock="0"/>
      </w:r>
      <w:r>
        <w:rPr>
          <w:rStyle w:val="Hyperlink.0"/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singl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http://localhost:8081/camunda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Username: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demo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Password: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demo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248284</wp:posOffset>
            </wp:positionV>
            <wp:extent cx="5727700" cy="275600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60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Subheading"/>
        <w:keepNext w:val="1"/>
        <w:keepLines w:val="1"/>
        <w:shd w:val="clear" w:color="auto" w:fill="ffffff"/>
        <w:bidi w:val="0"/>
        <w:spacing w:line="331" w:lineRule="auto"/>
        <w:ind w:left="0" w:right="0" w:firstLine="0"/>
        <w:jc w:val="both"/>
        <w:rPr>
          <w:rFonts w:ascii="Proxima Nova" w:cs="Proxima Nova" w:hAnsi="Proxima Nova" w:eastAsia="Proxima Nova"/>
          <w:b w:val="1"/>
          <w:bCs w:val="1"/>
          <w:caps w:val="0"/>
          <w:smallCaps w:val="0"/>
          <w:outline w:val="0"/>
          <w:color w:val="000000"/>
          <w:spacing w:val="0"/>
          <w:sz w:val="30"/>
          <w:szCs w:val="3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Proxima Nova" w:hAnsi="Proxima Nova"/>
          <w:b w:val="1"/>
          <w:bCs w:val="1"/>
          <w:caps w:val="0"/>
          <w:smallCaps w:val="0"/>
          <w:outline w:val="0"/>
          <w:color w:val="000000"/>
          <w:spacing w:val="0"/>
          <w:sz w:val="30"/>
          <w:szCs w:val="3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2. Admin application landing screen</w:t>
      </w:r>
      <w:r>
        <w:rPr>
          <w:rFonts w:ascii="Proxima Nova" w:cs="Proxima Nova" w:hAnsi="Proxima Nova" w:eastAsia="Proxima Nova"/>
          <w:b w:val="1"/>
          <w:bCs w:val="1"/>
          <w:caps w:val="0"/>
          <w:smallCaps w:val="0"/>
          <w:outline w:val="0"/>
          <w:color w:val="000000"/>
          <w:spacing w:val="0"/>
          <w:sz w:val="30"/>
          <w:szCs w:val="30"/>
          <w:u w:color="000000"/>
          <w:rtl w:val="0"/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371504</wp:posOffset>
            </wp:positionV>
            <wp:extent cx="6364206" cy="28589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7"/>
                <wp:lineTo x="0" y="21647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206" cy="2858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We will go through each components of camunda admin application.</w:t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2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Users</w:t>
      </w:r>
    </w:p>
    <w:p>
      <w:pPr>
        <w:pStyle w:val="Default"/>
        <w:bidi w:val="0"/>
        <w:spacing w:after="240"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The Users menu allows you to add, edit and delete user profiles. Furthermore, you can manage group membership and change passwords.</w:t>
      </w:r>
      <w:r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296629</wp:posOffset>
            </wp:positionV>
            <wp:extent cx="5727700" cy="216723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7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To manage profile, account, groups and tenants for user click on Edit action.</w:t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3.1 User profile: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Users first name, last name and email can be updated.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323850</wp:posOffset>
            </wp:positionV>
            <wp:extent cx="5727700" cy="242524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52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3.2 Account: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Change your password or delete/unlock your account. Be careful, deletion cannot be undone.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323850</wp:posOffset>
            </wp:positionV>
            <wp:extent cx="5727700" cy="443001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300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3.3 Groups: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This menu lists all groups of which you are member. With administrator rights you can assign your account to the available groups.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323850</wp:posOffset>
            </wp:positionV>
            <wp:extent cx="5727700" cy="263372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37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3.4 Tenants: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This menu lists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tenants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of which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user is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member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of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With administrator rights you can assign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tenant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to the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user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1"/>
        <w:shd w:val="clear" w:color="auto" w:fill="ffffff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3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Groups</w:t>
      </w:r>
    </w:p>
    <w:p>
      <w:pPr>
        <w:pStyle w:val="Default"/>
        <w:bidi w:val="0"/>
        <w:spacing w:after="240"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The Groups menu allows you to add, edit and delete user groups. Beside that you can view the members of groups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 and each group member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  <w:lang w:val="en-US"/>
        </w:rPr>
        <w:t>’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s tenant.</w:t>
      </w:r>
      <w:r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368300</wp:posOffset>
            </wp:positionV>
            <wp:extent cx="5727700" cy="22054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9"/>
                <wp:lineTo x="0" y="21639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54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555555"/>
          <w:sz w:val="29"/>
          <w:szCs w:val="29"/>
          <w:rtl w:val="0"/>
          <w14:textFill>
            <w14:solidFill>
              <w14:srgbClr w14:val="555555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555555"/>
          <w:sz w:val="29"/>
          <w:szCs w:val="29"/>
          <w:rtl w:val="0"/>
          <w14:textFill>
            <w14:solidFill>
              <w14:srgbClr w14:val="555555"/>
            </w14:solidFill>
          </w14:textFill>
        </w:rPr>
      </w:pPr>
      <w:r>
        <w:rPr>
          <w:rFonts w:ascii="Helvetica" w:hAnsi="Helvetica"/>
          <w:outline w:val="0"/>
          <w:color w:val="555555"/>
          <w:sz w:val="29"/>
          <w:szCs w:val="29"/>
          <w:rtl w:val="0"/>
          <w:lang w:val="en-US"/>
          <w14:textFill>
            <w14:solidFill>
              <w14:srgbClr w14:val="555555"/>
            </w14:solidFill>
          </w14:textFill>
        </w:rPr>
        <w:t>Click on the group accounting to view its information.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555555"/>
          <w:sz w:val="29"/>
          <w:szCs w:val="29"/>
          <w:rtl w:val="0"/>
          <w14:textFill>
            <w14:solidFill>
              <w14:srgbClr w14:val="555555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555555"/>
          <w:sz w:val="29"/>
          <w:szCs w:val="29"/>
          <w:rtl w:val="0"/>
          <w14:textFill>
            <w14:solidFill>
              <w14:srgbClr w14:val="555555"/>
            </w14:solidFill>
          </w14:textFill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5727700" cy="301087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08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555555"/>
          <w:sz w:val="29"/>
          <w:szCs w:val="29"/>
          <w:rtl w:val="0"/>
          <w14:textFill>
            <w14:solidFill>
              <w14:srgbClr w14:val="555555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555555"/>
          <w:sz w:val="29"/>
          <w:szCs w:val="29"/>
          <w:rtl w:val="0"/>
          <w14:textFill>
            <w14:solidFill>
              <w14:srgbClr w14:val="555555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555555"/>
          <w:sz w:val="29"/>
          <w:szCs w:val="29"/>
          <w:rtl w:val="0"/>
          <w14:textFill>
            <w14:solidFill>
              <w14:srgbClr w14:val="555555"/>
            </w14:solidFill>
          </w14:textFill>
        </w:rPr>
      </w:pPr>
      <w:r>
        <w:rPr>
          <w:rFonts w:ascii="Helvetica" w:hAnsi="Helvetica"/>
          <w:outline w:val="0"/>
          <w:color w:val="555555"/>
          <w:sz w:val="29"/>
          <w:szCs w:val="29"/>
          <w:rtl w:val="0"/>
          <w:lang w:val="en-US"/>
          <w14:textFill>
            <w14:solidFill>
              <w14:srgbClr w14:val="555555"/>
            </w14:solidFill>
          </w14:textFill>
        </w:rPr>
        <w:t>Click on the users to view users associated with group.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555555"/>
          <w:sz w:val="29"/>
          <w:szCs w:val="29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555555"/>
          <w:sz w:val="29"/>
          <w:szCs w:val="29"/>
          <w:rtl w:val="0"/>
          <w14:textFill>
            <w14:solidFill>
              <w14:srgbClr w14:val="555555"/>
            </w14:solidFill>
          </w14:textFill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727700" cy="194972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497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555555"/>
          <w:sz w:val="29"/>
          <w:szCs w:val="29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4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clear" w:color="auto" w:fill="ffffff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Tenants</w:t>
      </w:r>
    </w:p>
    <w:p>
      <w:pPr>
        <w:pStyle w:val="Default"/>
        <w:bidi w:val="0"/>
        <w:spacing w:after="240" w:line="240" w:lineRule="auto"/>
        <w:ind w:left="0" w:right="0" w:firstLine="0"/>
        <w:jc w:val="both"/>
        <w:rPr>
          <w:rFonts w:ascii="Proxima Nova" w:cs="Proxima Nova" w:hAnsi="Proxima Nova" w:eastAsia="Proxima Nova"/>
          <w:outline w:val="0"/>
          <w:color w:val="555555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ascii="Proxima Nova" w:hAnsi="Proxima Nova"/>
          <w:outline w:val="0"/>
          <w:color w:val="555555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The Tenants menu allows you to add, edit and delete tenants. Beside that you can view which user or group is a member of a tenant.</w:t>
      </w:r>
      <w:r>
        <w:rPr>
          <w:rFonts w:ascii="Proxima Nova" w:cs="Proxima Nova" w:hAnsi="Proxima Nova" w:eastAsia="Proxima Nova"/>
          <w:outline w:val="0"/>
          <w:color w:val="555555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269240</wp:posOffset>
            </wp:positionV>
            <wp:extent cx="5727700" cy="163009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2"/>
                <wp:lineTo x="0" y="21642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300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250" w:line="240" w:lineRule="auto"/>
        <w:ind w:left="0" w:right="0" w:firstLine="0"/>
        <w:jc w:val="both"/>
        <w:rPr>
          <w:rFonts w:ascii="Proxima Nova" w:cs="Proxima Nova" w:hAnsi="Proxima Nova" w:eastAsia="Proxima Nova"/>
          <w:b w:val="1"/>
          <w:bCs w:val="1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b w:val="1"/>
          <w:bCs w:val="1"/>
          <w:sz w:val="28"/>
          <w:szCs w:val="28"/>
          <w:shd w:val="clear" w:color="auto" w:fill="ffffff"/>
          <w:rtl w:val="0"/>
          <w:lang w:val="en-US"/>
        </w:rPr>
        <w:t>Create a new tenant</w:t>
      </w:r>
    </w:p>
    <w:p>
      <w:pPr>
        <w:pStyle w:val="Default"/>
        <w:bidi w:val="0"/>
        <w:spacing w:after="240"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All you have to do to create a new tenant is:</w:t>
      </w:r>
    </w:p>
    <w:p>
      <w:pPr>
        <w:pStyle w:val="Default"/>
        <w:numPr>
          <w:ilvl w:val="0"/>
          <w:numId w:val="6"/>
        </w:numPr>
        <w:bidi w:val="0"/>
        <w:spacing w:line="240" w:lineRule="auto"/>
        <w:ind w:right="0"/>
        <w:jc w:val="left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Click the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Create new tenant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it-IT"/>
        </w:rPr>
        <w:t>button</w:t>
      </w:r>
    </w:p>
    <w:p>
      <w:pPr>
        <w:pStyle w:val="Default"/>
        <w:numPr>
          <w:ilvl w:val="0"/>
          <w:numId w:val="6"/>
        </w:numPr>
        <w:bidi w:val="0"/>
        <w:spacing w:line="240" w:lineRule="auto"/>
        <w:ind w:right="0"/>
        <w:jc w:val="left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Type the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fr-FR"/>
        </w:rPr>
        <w:t>Tenant Id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</w:rPr>
        <w:t>and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Tenant Name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in the corresponding input fields</w:t>
      </w:r>
    </w:p>
    <w:p>
      <w:pPr>
        <w:pStyle w:val="Default"/>
        <w:numPr>
          <w:ilvl w:val="0"/>
          <w:numId w:val="6"/>
        </w:numPr>
        <w:bidi w:val="0"/>
        <w:spacing w:line="240" w:lineRule="auto"/>
        <w:ind w:right="0"/>
        <w:jc w:val="left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Click the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Create new Tenant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it-IT"/>
        </w:rPr>
        <w:t>button</w:t>
      </w:r>
      <w:r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  <w:br w:type="textWrapping"/>
      </w:r>
    </w:p>
    <w:p>
      <w:pPr>
        <w:pStyle w:val="Default"/>
        <w:bidi w:val="0"/>
        <w:spacing w:after="240" w:line="240" w:lineRule="auto"/>
        <w:ind w:left="0" w:right="0" w:firstLine="0"/>
        <w:jc w:val="left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This creates a new tenant.</w:t>
      </w:r>
    </w:p>
    <w:p>
      <w:pPr>
        <w:pStyle w:val="Default"/>
        <w:bidi w:val="0"/>
        <w:spacing w:after="250" w:line="240" w:lineRule="auto"/>
        <w:ind w:left="0" w:right="0" w:firstLine="0"/>
        <w:jc w:val="both"/>
        <w:rPr>
          <w:rFonts w:ascii="Proxima Nova" w:cs="Proxima Nova" w:hAnsi="Proxima Nova" w:eastAsia="Proxima Nova"/>
          <w:b w:val="1"/>
          <w:bCs w:val="1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b w:val="1"/>
          <w:bCs w:val="1"/>
          <w:sz w:val="28"/>
          <w:szCs w:val="28"/>
          <w:shd w:val="clear" w:color="auto" w:fill="ffffff"/>
          <w:rtl w:val="0"/>
          <w:lang w:val="en-US"/>
        </w:rPr>
        <w:t>Add an user to a tenant</w:t>
      </w:r>
    </w:p>
    <w:p>
      <w:pPr>
        <w:pStyle w:val="Default"/>
        <w:numPr>
          <w:ilvl w:val="0"/>
          <w:numId w:val="7"/>
        </w:numPr>
        <w:bidi w:val="0"/>
        <w:spacing w:after="240" w:line="240" w:lineRule="auto"/>
        <w:ind w:right="0"/>
        <w:jc w:val="both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To add an user to a tenant you have to go to the users account settings and click on the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fr-FR"/>
        </w:rPr>
        <w:t>Tenants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menu on the left side.</w:t>
      </w:r>
    </w:p>
    <w:p>
      <w:pPr>
        <w:pStyle w:val="Default"/>
        <w:numPr>
          <w:ilvl w:val="0"/>
          <w:numId w:val="7"/>
        </w:numPr>
        <w:bidi w:val="0"/>
        <w:spacing w:after="240" w:line="240" w:lineRule="auto"/>
        <w:ind w:right="0"/>
        <w:jc w:val="both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In this menu you can click the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Add to a tenant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button and select the tenants where the user should be a member.</w:t>
      </w:r>
    </w:p>
    <w:p>
      <w:pPr>
        <w:pStyle w:val="Default"/>
        <w:bidi w:val="0"/>
        <w:spacing w:after="250" w:line="240" w:lineRule="auto"/>
        <w:ind w:left="0" w:right="0" w:firstLine="0"/>
        <w:jc w:val="left"/>
        <w:rPr>
          <w:rFonts w:ascii="Proxima Nova" w:cs="Proxima Nova" w:hAnsi="Proxima Nova" w:eastAsia="Proxima Nova"/>
          <w:b w:val="1"/>
          <w:bCs w:val="1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b w:val="1"/>
          <w:bCs w:val="1"/>
          <w:sz w:val="28"/>
          <w:szCs w:val="28"/>
          <w:shd w:val="clear" w:color="auto" w:fill="ffffff"/>
          <w:rtl w:val="0"/>
          <w:lang w:val="en-US"/>
        </w:rPr>
        <w:t>Add a group to a tenant</w:t>
      </w:r>
    </w:p>
    <w:p>
      <w:pPr>
        <w:pStyle w:val="Default"/>
        <w:numPr>
          <w:ilvl w:val="0"/>
          <w:numId w:val="8"/>
        </w:numPr>
        <w:bidi w:val="0"/>
        <w:spacing w:after="240" w:line="240" w:lineRule="auto"/>
        <w:ind w:right="0"/>
        <w:jc w:val="both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To add a group to a tenant you have to go to the group settings and click on the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fr-FR"/>
        </w:rPr>
        <w:t>Tenants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menu on the left side.</w:t>
      </w:r>
    </w:p>
    <w:p>
      <w:pPr>
        <w:pStyle w:val="Default"/>
        <w:numPr>
          <w:ilvl w:val="0"/>
          <w:numId w:val="8"/>
        </w:numPr>
        <w:bidi w:val="0"/>
        <w:spacing w:after="240" w:line="240" w:lineRule="auto"/>
        <w:ind w:right="0"/>
        <w:jc w:val="both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In this menu you can click the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Add to a tenant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button and select the tenants where the group should be a member.</w:t>
      </w:r>
    </w:p>
    <w:p>
      <w:pPr>
        <w:pStyle w:val="Default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555555"/>
          <w:sz w:val="32"/>
          <w:szCs w:val="32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9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Authorizations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Manage authorizations for a variety of resources (e.g.,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 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fr-FR"/>
        </w:rPr>
        <w:t>Applications,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Groups,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de-DE"/>
        </w:rPr>
        <w:t>Filters).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You can grant access of </w:t>
      </w:r>
    </w:p>
    <w:p>
      <w:pPr>
        <w:pStyle w:val="Default"/>
        <w:numPr>
          <w:ilvl w:val="0"/>
          <w:numId w:val="10"/>
        </w:numPr>
        <w:bidi w:val="0"/>
        <w:spacing w:line="240" w:lineRule="auto"/>
        <w:ind w:right="0"/>
        <w:jc w:val="both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Applications</w:t>
      </w:r>
    </w:p>
    <w:p>
      <w:pPr>
        <w:pStyle w:val="Default"/>
        <w:numPr>
          <w:ilvl w:val="0"/>
          <w:numId w:val="10"/>
        </w:numPr>
        <w:bidi w:val="0"/>
        <w:spacing w:line="240" w:lineRule="auto"/>
        <w:ind w:right="0"/>
        <w:jc w:val="both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Filter Access</w:t>
      </w:r>
    </w:p>
    <w:p>
      <w:pPr>
        <w:pStyle w:val="Default"/>
        <w:numPr>
          <w:ilvl w:val="0"/>
          <w:numId w:val="10"/>
        </w:numPr>
        <w:bidi w:val="0"/>
        <w:spacing w:line="240" w:lineRule="auto"/>
        <w:ind w:right="0"/>
        <w:jc w:val="both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Decision Definition</w:t>
      </w:r>
    </w:p>
    <w:p>
      <w:pPr>
        <w:pStyle w:val="Default"/>
        <w:numPr>
          <w:ilvl w:val="0"/>
          <w:numId w:val="10"/>
        </w:numPr>
        <w:bidi w:val="0"/>
        <w:spacing w:line="240" w:lineRule="auto"/>
        <w:ind w:right="0"/>
        <w:jc w:val="both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Deployment</w:t>
      </w:r>
    </w:p>
    <w:p>
      <w:pPr>
        <w:pStyle w:val="Default"/>
        <w:numPr>
          <w:ilvl w:val="0"/>
          <w:numId w:val="10"/>
        </w:numPr>
        <w:bidi w:val="0"/>
        <w:spacing w:line="240" w:lineRule="auto"/>
        <w:ind w:right="0"/>
        <w:jc w:val="both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Tenant</w:t>
      </w:r>
    </w:p>
    <w:p>
      <w:pPr>
        <w:pStyle w:val="Default"/>
        <w:numPr>
          <w:ilvl w:val="0"/>
          <w:numId w:val="8"/>
        </w:numPr>
        <w:bidi w:val="0"/>
        <w:spacing w:line="240" w:lineRule="auto"/>
        <w:ind w:right="0"/>
        <w:jc w:val="both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Application specific permissions (Through cockpit)</w:t>
      </w:r>
    </w:p>
    <w:p>
      <w:pPr>
        <w:pStyle w:val="Default"/>
        <w:numPr>
          <w:ilvl w:val="1"/>
          <w:numId w:val="8"/>
        </w:numPr>
        <w:bidi w:val="0"/>
        <w:spacing w:line="240" w:lineRule="auto"/>
        <w:ind w:right="0"/>
        <w:jc w:val="both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 xml:space="preserve">Process definition, </w:t>
      </w:r>
    </w:p>
    <w:p>
      <w:pPr>
        <w:pStyle w:val="Default"/>
        <w:numPr>
          <w:ilvl w:val="1"/>
          <w:numId w:val="8"/>
        </w:numPr>
        <w:bidi w:val="0"/>
        <w:spacing w:line="240" w:lineRule="auto"/>
        <w:ind w:right="0"/>
        <w:jc w:val="both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Process instance, Task</w:t>
      </w:r>
    </w:p>
    <w:p>
      <w:pPr>
        <w:pStyle w:val="Default"/>
        <w:numPr>
          <w:ilvl w:val="1"/>
          <w:numId w:val="8"/>
        </w:numPr>
        <w:bidi w:val="0"/>
        <w:spacing w:line="240" w:lineRule="auto"/>
        <w:ind w:right="0"/>
        <w:jc w:val="both"/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Tasks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11"/>
        </w:numPr>
        <w:shd w:val="clear" w:color="auto" w:fill="ffffff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263238"/>
          <w:spacing w:val="0"/>
          <w:kern w:val="0"/>
          <w:position w:val="0"/>
          <w:sz w:val="28"/>
          <w:szCs w:val="28"/>
          <w:u w:val="none" w:color="263238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263238"/>
            </w14:solidFill>
          </w14:textFill>
        </w:rPr>
        <w:t>System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outline w:val="0"/>
          <w:color w:val="555555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ascii="Proxima Nova" w:hAnsi="Proxima Nova"/>
          <w:outline w:val="0"/>
          <w:color w:val="555555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The System Settings menu gives you some general information about the process engine and allows you to access the</w:t>
      </w:r>
      <w:r>
        <w:rPr>
          <w:rFonts w:ascii="Proxima Nova" w:hAnsi="Proxima Nova" w:hint="default"/>
          <w:outline w:val="0"/>
          <w:color w:val="555555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 </w:t>
      </w:r>
      <w:r>
        <w:rPr>
          <w:rFonts w:ascii="Proxima Nova" w:hAnsi="Proxima Nova"/>
          <w:outline w:val="0"/>
          <w:color w:val="555555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Execution Metrics</w:t>
      </w:r>
      <w:r>
        <w:rPr>
          <w:rFonts w:ascii="Proxima Nova" w:hAnsi="Proxima Nova" w:hint="default"/>
          <w:outline w:val="0"/>
          <w:color w:val="555555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 </w:t>
      </w:r>
      <w:r>
        <w:rPr>
          <w:rFonts w:ascii="Proxima Nova" w:cs="Proxima Nova" w:hAnsi="Proxima Nova" w:eastAsia="Proxima Nova"/>
          <w:outline w:val="0"/>
          <w:color w:val="555555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317500</wp:posOffset>
            </wp:positionV>
            <wp:extent cx="5727700" cy="28712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8"/>
                <wp:lineTo x="0" y="21628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12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tl w:val="0"/>
        </w:rPr>
      </w:pPr>
      <w:r>
        <w:rPr>
          <w:rFonts w:ascii="Proxima Nova" w:hAnsi="Proxima Nova"/>
          <w:b w:val="1"/>
          <w:bCs w:val="1"/>
          <w:sz w:val="28"/>
          <w:szCs w:val="28"/>
          <w:shd w:val="clear" w:color="auto" w:fill="ffffff"/>
          <w:rtl w:val="0"/>
          <w:lang w:val="en-US"/>
        </w:rPr>
        <w:t>The Execution Metrics</w:t>
      </w:r>
      <w:r>
        <w:rPr>
          <w:rFonts w:ascii="Proxima Nova" w:hAnsi="Proxima Nova"/>
          <w:sz w:val="28"/>
          <w:szCs w:val="28"/>
          <w:shd w:val="clear" w:color="auto" w:fill="ffffff"/>
          <w:rtl w:val="0"/>
        </w:rPr>
        <w:t xml:space="preserve"> 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: D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isplays an approximate number of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Root Process Instances (RPI),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Flow Nodes Instances (FNI),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Executed Decision Instances (EDI)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</w:rPr>
        <w:t>and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Executed Decision Elements (EDE)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that have been processed by the engine within a specified time range.</w:t>
      </w:r>
      <w:r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378513</wp:posOffset>
            </wp:positionV>
            <wp:extent cx="5978604" cy="384542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604" cy="38454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7"/>
      <w:footerReference w:type="default" r:id="rId18"/>
      <w:pgSz w:w="11900" w:h="16840" w:orient="portrait"/>
      <w:pgMar w:top="720" w:right="1440" w:bottom="2300" w:left="1440" w:header="700" w:footer="70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roxima Nova">
    <w:charset w:val="00"/>
    <w:family w:val="roman"/>
    <w:pitch w:val="default"/>
  </w:font>
  <w:font w:name="Proxima Nova Medium">
    <w:charset w:val="00"/>
    <w:family w:val="roman"/>
    <w:pitch w:val="default"/>
  </w:font>
  <w:font w:name="Comic Sans MS">
    <w:charset w:val="00"/>
    <w:family w:val="roman"/>
    <w:pitch w:val="default"/>
  </w:font>
  <w:font w:name="Canela Text Regular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Canela Deck Bold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2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39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4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1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Numbered"/>
  </w:abstractNum>
  <w:abstractNum w:abstractNumId="2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55555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7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55555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9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55555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31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55555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53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55555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175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55555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197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55555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19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55555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418" w:hanging="43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55555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lvl w:ilvl="0">
      <w:start w:val="1"/>
      <w:numFmt w:val="bullet"/>
      <w:suff w:val="tab"/>
      <w:lvlText w:val="‣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‣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‣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‣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‣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‣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‣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‣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‣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startOverride w:val="3"/>
      <w:lvl w:ilvl="0">
        <w:start w:val="3"/>
        <w:numFmt w:val="decimal"/>
        <w:suff w:val="tab"/>
        <w:lvlText w:val="%1."/>
        <w:lvlJc w:val="left"/>
        <w:pPr>
          <w:ind w:left="36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">
    <w:abstractNumId w:val="0"/>
    <w:lvlOverride w:ilvl="0">
      <w:startOverride w:val="4"/>
      <w:lvl w:ilvl="0">
        <w:start w:val="4"/>
        <w:numFmt w:val="decimal"/>
        <w:suff w:val="tab"/>
        <w:lvlText w:val="%1."/>
        <w:lvlJc w:val="left"/>
        <w:pPr>
          <w:ind w:left="36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startOverride w:val="5"/>
      <w:lvl w:ilvl="0">
        <w:start w:val="5"/>
        <w:numFmt w:val="decimal"/>
        <w:suff w:val="tab"/>
        <w:lvlText w:val="%1."/>
        <w:lvlJc w:val="left"/>
        <w:pPr>
          <w:ind w:left="36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2"/>
  </w:num>
  <w:num w:numId="6">
    <w:abstractNumId w:val="1"/>
  </w:num>
  <w:num w:numId="7">
    <w:abstractNumId w:val="3"/>
  </w:num>
  <w:num w:numId="8">
    <w:abstractNumId w:val="3"/>
    <w:lvlOverride w:ilvl="0">
      <w:lvl w:ilvl="0">
        <w:start w:val="1"/>
        <w:numFmt w:val="bullet"/>
        <w:suff w:val="tab"/>
        <w:lvlText w:val="‣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‣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‣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‣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‣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‣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‣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‣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‣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0"/>
    <w:lvlOverride w:ilvl="0">
      <w:startOverride w:val="6"/>
      <w:lvl w:ilvl="0">
        <w:start w:val="6"/>
        <w:numFmt w:val="decimal"/>
        <w:suff w:val="tab"/>
        <w:lvlText w:val="%1."/>
        <w:lvlJc w:val="left"/>
        <w:pPr>
          <w:ind w:left="36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3"/>
    <w:lvlOverride w:ilvl="0">
      <w:lvl w:ilvl="0">
        <w:start w:val="1"/>
        <w:numFmt w:val="bullet"/>
        <w:suff w:val="tab"/>
        <w:lvlText w:val="‣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‣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‣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‣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‣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‣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‣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‣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‣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0"/>
    <w:lvlOverride w:ilvl="0">
      <w:startOverride w:val="6"/>
      <w:lvl w:ilvl="0">
        <w:start w:val="6"/>
        <w:numFmt w:val="decimal"/>
        <w:suff w:val="tab"/>
        <w:lvlText w:val="%1."/>
        <w:lvlJc w:val="left"/>
        <w:pPr>
          <w:ind w:left="36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80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2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24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6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40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12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Addressee">
    <w:name w:val="Addressee"/>
    <w:next w:val="Subhead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roxima Nova" w:cs="Arial Unicode MS" w:hAnsi="Proxima Nov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ubheading">
    <w:name w:val="Subheading"/>
    <w:next w:val="Body 4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1"/>
    </w:pPr>
    <w:rPr>
      <w:rFonts w:ascii="Proxima Nova Medium" w:cs="Arial Unicode MS" w:hAnsi="Proxima Nova Medium" w:eastAsia="Arial Unicode MS"/>
      <w:b w:val="0"/>
      <w:bCs w:val="0"/>
      <w:i w:val="0"/>
      <w:iCs w:val="0"/>
      <w:caps w:val="1"/>
      <w:strike w:val="0"/>
      <w:dstrike w:val="0"/>
      <w:outline w:val="0"/>
      <w:color w:val="49494b"/>
      <w:spacing w:val="9"/>
      <w:kern w:val="0"/>
      <w:position w:val="0"/>
      <w:sz w:val="18"/>
      <w:szCs w:val="18"/>
      <w:u w:val="none"/>
      <w:shd w:val="nil" w:color="auto" w:fill="auto"/>
      <w:vertAlign w:val="baseline"/>
      <w14:textOutline>
        <w14:noFill/>
      </w14:textOutline>
      <w14:textFill>
        <w14:solidFill>
          <w14:srgbClr w14:val="4A4A4B"/>
        </w14:solidFill>
      </w14:textFill>
    </w:rPr>
  </w:style>
  <w:style w:type="paragraph" w:styleId="Body 4">
    <w:name w:val="Body 4"/>
    <w:next w:val="Body 4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80" w:line="240" w:lineRule="auto"/>
      <w:ind w:left="0" w:right="0" w:firstLine="0"/>
      <w:jc w:val="left"/>
      <w:outlineLvl w:val="9"/>
    </w:pPr>
    <w:rPr>
      <w:rFonts w:ascii="Proxima Nova" w:cs="Arial Unicode MS" w:hAnsi="Proxima Nov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16" w:lineRule="auto"/>
      <w:ind w:left="0" w:right="0" w:firstLine="0"/>
      <w:jc w:val="left"/>
      <w:outlineLvl w:val="9"/>
    </w:pPr>
    <w:rPr>
      <w:rFonts w:ascii="Canela Text Regular" w:cs="Arial Unicode MS" w:hAnsi="Canela Text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Label Dark">
    <w:name w:val="Label Dark"/>
    <w:next w:val="Label Dark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Canela Deck Bold" w:cs="Canela Deck Bold" w:hAnsi="Canela Deck Bold" w:eastAsia="Canela Deck Bol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-5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9_PersonalLetter">
  <a:themeElements>
    <a:clrScheme name="29_PersonalLetter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B9CAD3"/>
      </a:accent1>
      <a:accent2>
        <a:srgbClr val="8CBAD7"/>
      </a:accent2>
      <a:accent3>
        <a:srgbClr val="B5AFC4"/>
      </a:accent3>
      <a:accent4>
        <a:srgbClr val="E8A6B1"/>
      </a:accent4>
      <a:accent5>
        <a:srgbClr val="FF8A6E"/>
      </a:accent5>
      <a:accent6>
        <a:srgbClr val="E2CF91"/>
      </a:accent6>
      <a:hlink>
        <a:srgbClr val="0000FF"/>
      </a:hlink>
      <a:folHlink>
        <a:srgbClr val="FF00FF"/>
      </a:folHlink>
    </a:clrScheme>
    <a:fontScheme name="29_PersonalLetter">
      <a:majorFont>
        <a:latin typeface="Canela Deck Bold"/>
        <a:ea typeface="Canela Deck Bold"/>
        <a:cs typeface="Canela Deck Bold"/>
      </a:majorFont>
      <a:minorFont>
        <a:latin typeface="Canela Text Medium"/>
        <a:ea typeface="Canela Text Medium"/>
        <a:cs typeface="Canela Text Medium"/>
      </a:minorFont>
    </a:fontScheme>
    <a:fmtScheme name="29_PersonalLett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15431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-28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Canela Deck Bold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rgbClr val="EF897B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Proxima Nova"/>
            <a:ea typeface="Proxima Nova"/>
            <a:cs typeface="Proxima Nova"/>
            <a:sym typeface="Proxima Nov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