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Subheading"/>
        <w:bidi w:val="0"/>
        <w:ind w:left="2160"/>
      </w:pP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 xml:space="preserve">Sumit Vadaviya 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Camunda BPM Expert, Corporate Trainer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Email : sumit.vadaviya@trainosoft.com</w:t>
      </w:r>
    </w:p>
    <w:p>
      <w:pPr>
        <w:pStyle w:val="Subheading"/>
        <w:bidi w:val="0"/>
      </w:pPr>
    </w:p>
    <w:p>
      <w:pPr>
        <w:pStyle w:val="Addressee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560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Canela Text Regular" w:cs="Canela Text Regular" w:hAnsi="Canela Text Regular" w:eastAsia="Canela Text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5"/>
          <w:sz w:val="64"/>
          <w:szCs w:val="64"/>
          <w:u w:val="none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I</w:t>
      </w:r>
    </w:p>
    <w:p>
      <w:pPr>
        <w:pStyle w:val="Addressee"/>
        <w:ind w:left="283" w:hanging="283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n this session we will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703072</wp:posOffset>
                </wp:positionH>
                <wp:positionV relativeFrom="page">
                  <wp:posOffset>115139</wp:posOffset>
                </wp:positionV>
                <wp:extent cx="5799517" cy="819102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9517" cy="81910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hueOff val="129105"/>
                            <a:satOff val="4094"/>
                            <a:lumOff val="-1696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bidi w:val="0"/>
                            </w:pPr>
                          </w:p>
                          <w:p>
                            <w:pPr>
                              <w:pStyle w:val="Label Dark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n-US"/>
                              </w:rPr>
                              <w:t>Camunda Web Application Cockpit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5.4pt;margin-top:9.1pt;width:456.7pt;height:64.5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80A2B6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bidi w:val="0"/>
                      </w:pPr>
                    </w:p>
                    <w:p>
                      <w:pPr>
                        <w:pStyle w:val="Label Dark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n-US"/>
                        </w:rPr>
                        <w:t>Camunda Web Application Cockpit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sz w:val="28"/>
          <w:szCs w:val="28"/>
          <w:rtl w:val="0"/>
          <w:lang w:val="en-US"/>
        </w:rPr>
        <w:t xml:space="preserve"> have quick overview of camunda cockpit web application.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Camunda web applications</w:t>
      </w:r>
    </w:p>
    <w:p>
      <w:pPr>
        <w:keepNext w:val="0"/>
        <w:keepLines w:val="0"/>
        <w:pageBreakBefore w:val="0"/>
        <w:widowControl w:val="1"/>
        <w:numPr>
          <w:ilvl w:val="1"/>
          <w:numId w:val="1"/>
        </w:numPr>
        <w:shd w:val="clear" w:color="auto" w:fill="auto"/>
        <w:suppressAutoHyphens w:val="0"/>
        <w:bidi w:val="0"/>
        <w:spacing w:before="80" w:after="0" w:line="288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Tasklist</w:t>
      </w:r>
    </w:p>
    <w:p>
      <w:pPr>
        <w:keepNext w:val="0"/>
        <w:keepLines w:val="0"/>
        <w:pageBreakBefore w:val="0"/>
        <w:widowControl w:val="1"/>
        <w:numPr>
          <w:ilvl w:val="1"/>
          <w:numId w:val="1"/>
        </w:numPr>
        <w:shd w:val="clear" w:color="auto" w:fill="auto"/>
        <w:suppressAutoHyphens w:val="0"/>
        <w:bidi w:val="0"/>
        <w:spacing w:before="80" w:after="0" w:line="288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CockPit</w:t>
      </w:r>
    </w:p>
    <w:p>
      <w:pPr>
        <w:keepNext w:val="0"/>
        <w:keepLines w:val="0"/>
        <w:pageBreakBefore w:val="0"/>
        <w:widowControl w:val="1"/>
        <w:numPr>
          <w:ilvl w:val="1"/>
          <w:numId w:val="1"/>
        </w:numPr>
        <w:shd w:val="clear" w:color="auto" w:fill="auto"/>
        <w:suppressAutoHyphens w:val="0"/>
        <w:bidi w:val="0"/>
        <w:spacing w:before="80" w:after="0" w:line="288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Admin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0" w:line="276" w:lineRule="auto"/>
        <w:ind w:right="0"/>
        <w:jc w:val="both"/>
        <w:outlineLvl w:val="9"/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Cockpit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727573" cy="3267654"/>
            <wp:effectExtent l="0" t="0" r="0" b="0"/>
            <wp:docPr id="1073741825" name="officeArt object" descr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47.png" descr="image4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2676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pStyle w:val="Subheading"/>
        <w:keepNext w:val="1"/>
        <w:keepLines w:val="1"/>
        <w:shd w:val="clear" w:color="auto" w:fill="ffffff"/>
        <w:bidi w:val="0"/>
        <w:spacing w:line="331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caps w:val="0"/>
          <w:smallCaps w:val="0"/>
          <w:outline w:val="0"/>
          <w:color w:val="000000"/>
          <w:spacing w:val="0"/>
          <w:sz w:val="30"/>
          <w:szCs w:val="3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caps w:val="0"/>
          <w:smallCaps w:val="0"/>
          <w:outline w:val="0"/>
          <w:color w:val="000000"/>
          <w:spacing w:val="0"/>
          <w:sz w:val="30"/>
          <w:szCs w:val="3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Cockpit</w:t>
      </w:r>
    </w:p>
    <w:p>
      <w:pPr>
        <w:pStyle w:val="Default"/>
        <w:numPr>
          <w:ilvl w:val="0"/>
          <w:numId w:val="3"/>
        </w:numPr>
        <w:bidi w:val="0"/>
        <w:spacing w:after="180" w:line="450" w:lineRule="atLeast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With Camunda Cockpit you can monitor workflows and decisions in production to discover, analyze and solve technical problems.</w:t>
      </w:r>
    </w:p>
    <w:p>
      <w:pPr>
        <w:pStyle w:val="Default"/>
        <w:numPr>
          <w:ilvl w:val="0"/>
          <w:numId w:val="3"/>
        </w:numPr>
        <w:bidi w:val="0"/>
        <w:spacing w:line="36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outline w:val="0"/>
          <w:color w:val="263238"/>
          <w:sz w:val="28"/>
          <w:szCs w:val="28"/>
          <w:u w:color="263238"/>
          <w:shd w:val="clear" w:color="auto" w:fill="ffffff"/>
          <w:rtl w:val="0"/>
          <w:lang w:val="en-US"/>
          <w14:textFill>
            <w14:solidFill>
              <w14:srgbClr w14:val="263238"/>
            </w14:solidFill>
          </w14:textFill>
        </w:rPr>
        <w:t>Cockpit provides a dashboard of running BPMN process models that allows you to quickly see what</w:t>
      </w:r>
      <w:r>
        <w:rPr>
          <w:rFonts w:ascii="Proxima Nova" w:hAnsi="Proxima Nova" w:hint="default"/>
          <w:outline w:val="0"/>
          <w:color w:val="263238"/>
          <w:sz w:val="28"/>
          <w:szCs w:val="28"/>
          <w:u w:color="263238"/>
          <w:shd w:val="clear" w:color="auto" w:fill="ffffff"/>
          <w:rtl w:val="1"/>
          <w14:textFill>
            <w14:solidFill>
              <w14:srgbClr w14:val="263238"/>
            </w14:solidFill>
          </w14:textFill>
        </w:rPr>
        <w:t>’</w:t>
      </w:r>
      <w:r>
        <w:rPr>
          <w:rFonts w:ascii="Proxima Nova" w:hAnsi="Proxima Nova"/>
          <w:outline w:val="0"/>
          <w:color w:val="263238"/>
          <w:sz w:val="28"/>
          <w:szCs w:val="28"/>
          <w:u w:color="263238"/>
          <w:shd w:val="clear" w:color="auto" w:fill="ffffff"/>
          <w:rtl w:val="0"/>
          <w:lang w:val="en-US"/>
          <w14:textFill>
            <w14:solidFill>
              <w14:srgbClr w14:val="263238"/>
            </w14:solidFill>
          </w14:textFill>
        </w:rPr>
        <w:t>s going on and find specific process instances based on different criteria.</w:t>
      </w:r>
    </w:p>
    <w:p>
      <w:pPr>
        <w:keepNext w:val="0"/>
        <w:keepLines w:val="0"/>
        <w:pageBreakBefore w:val="0"/>
        <w:widowControl w:val="1"/>
        <w:numPr>
          <w:ilvl w:val="0"/>
          <w:numId w:val="4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Cockpit provides monitoring and analyzing data. With this you can also make changes in the Decision tables even at the process runtime.</w:t>
      </w:r>
    </w:p>
    <w:p>
      <w:pPr>
        <w:keepNext w:val="0"/>
        <w:keepLines w:val="0"/>
        <w:pageBreakBefore w:val="0"/>
        <w:widowControl w:val="1"/>
        <w:numPr>
          <w:ilvl w:val="0"/>
          <w:numId w:val="4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Cockpit allows you to create custom reports for the deployed processes. Allows searching for the running, completed processes or the operations.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pStyle w:val="Subheading"/>
        <w:keepNext w:val="1"/>
        <w:keepLines w:val="1"/>
        <w:shd w:val="clear" w:color="auto" w:fill="ffffff"/>
        <w:bidi w:val="0"/>
        <w:spacing w:line="331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caps w:val="0"/>
          <w:smallCaps w:val="0"/>
          <w:outline w:val="0"/>
          <w:color w:val="000000"/>
          <w:spacing w:val="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caps w:val="0"/>
          <w:smallCaps w:val="0"/>
          <w:outline w:val="0"/>
          <w:color w:val="000000"/>
          <w:spacing w:val="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Landing screen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4"/>
          <w:szCs w:val="24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266700</wp:posOffset>
            </wp:positionV>
            <wp:extent cx="5727700" cy="25570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7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4"/>
          <w:szCs w:val="24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In the Right Now section, You can see number of running process instances, open incidents and open human tasks.</w:t>
      </w: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In the Deployed section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,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Y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ou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can see number of deployed process definitions, decision definitions, case definitions and deployments.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Running Process Instances: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On clicking running process instances, you can see running process instances for each deployed process definition.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View running process instances in list mode.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301023</wp:posOffset>
            </wp:positionV>
            <wp:extent cx="5727700" cy="12111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7"/>
                <wp:lineTo x="0" y="2164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1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View running process instances in previews mode.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-45840</wp:posOffset>
            </wp:positionH>
            <wp:positionV relativeFrom="line">
              <wp:posOffset>260170</wp:posOffset>
            </wp:positionV>
            <wp:extent cx="5806682" cy="21066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682" cy="21066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Open Human Tasks 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On clicking Open Human Tasks, you can see open human tasks.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14258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58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Deployed Process Definitions 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On clicking Deployed process definitions, you can see deployed process definitions.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View deployed process definitions in list mode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12111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7"/>
                <wp:lineTo x="0" y="2164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1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View deployed process definitions in previews mode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243840</wp:posOffset>
            </wp:positionV>
            <wp:extent cx="5727700" cy="20780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8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Deployed Decision Definitions 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On clicking Decision Definitions, You can see deployed decision definitions.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11828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5"/>
                <wp:lineTo x="0" y="21655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2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Deployed Deployments 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On clicking Deployments, You can see deployed deployments.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-6185</wp:posOffset>
            </wp:positionH>
            <wp:positionV relativeFrom="line">
              <wp:posOffset>323850</wp:posOffset>
            </wp:positionV>
            <wp:extent cx="5727372" cy="27672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372" cy="2767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727700" cy="27674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7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numPr>
          <w:ilvl w:val="0"/>
          <w:numId w:val="6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Detailed v</w:t>
      </w: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iew and edit process instances</w:t>
      </w:r>
    </w:p>
    <w:p>
      <w:pPr>
        <w:keepNext w:val="0"/>
        <w:keepLines w:val="0"/>
        <w:pageBreakBefore w:val="0"/>
        <w:widowControl w:val="1"/>
        <w:numPr>
          <w:ilvl w:val="0"/>
          <w:numId w:val="7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Click on Processes menu.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405473</wp:posOffset>
            </wp:positionV>
            <wp:extent cx="5727700" cy="12210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9"/>
                <wp:lineTo x="0" y="21669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1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10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Click on processes definition name Invoice Receipt. You will see running process instances for process definition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Invoice Receipt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23858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5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You can see 3 process instances created for process definition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Invoice Receipt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with version 2.</w:t>
      </w: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Process instances can be seen by version. So let change the version from default 2 (latest version ) to 1.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23858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5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You can see 3 process instances are created for process definition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Invoice Receipt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with version 1.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11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Detailed information for process instance can be accessed by clicking on id of particular process instance. Let click on id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dc0d5a26-e243-11ea-a8b7-1e520aee3960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26308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0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Variables: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Process instance variables with current value can monitored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3807213</wp:posOffset>
            </wp:positionH>
            <wp:positionV relativeFrom="line">
              <wp:posOffset>218201</wp:posOffset>
            </wp:positionV>
            <wp:extent cx="427213" cy="2513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13" cy="2513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and edited or deleted by clicking on respective  icons.</w:t>
      </w: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Called Process Instances: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List of the external sub process  instances invoked from this parent process through call activity can be viewed. </w:t>
      </w: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User Tasks: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 List of user task instances for current running process instance can be viewed.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2483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3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User task assignee can be change and you can also manage user for this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4963898</wp:posOffset>
            </wp:positionH>
            <wp:positionV relativeFrom="line">
              <wp:posOffset>228331</wp:posOffset>
            </wp:positionV>
            <wp:extent cx="221963" cy="2118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" cy="211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task by adding users or removing added users by clicking icon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431690</wp:posOffset>
            </wp:positionV>
            <wp:extent cx="4240777" cy="30241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777" cy="3024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Georgia" w:cs="Georgia" w:hAnsi="Georgia" w:eastAsia="Georg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4"/>
          <w:szCs w:val="24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User task groups can be managed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2936239</wp:posOffset>
            </wp:positionH>
            <wp:positionV relativeFrom="line">
              <wp:posOffset>161289</wp:posOffset>
            </wp:positionV>
            <wp:extent cx="328771" cy="2808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71" cy="2808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by adding users or removing or removing group users by clicking icon.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38184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You can add new process instance variables, suspend or delete process instance.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-21288</wp:posOffset>
            </wp:positionH>
            <wp:positionV relativeFrom="line">
              <wp:posOffset>383540</wp:posOffset>
            </wp:positionV>
            <wp:extent cx="626777" cy="23870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77" cy="23870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Delete running process instance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Increment number of retries of failed job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Add new variable to process instance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Suspend process instance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6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Detailed v</w:t>
      </w: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iew and edit decision instance</w:t>
      </w:r>
    </w:p>
    <w:p>
      <w:pPr>
        <w:keepNext w:val="0"/>
        <w:keepLines w:val="0"/>
        <w:pageBreakBefore w:val="0"/>
        <w:widowControl w:val="1"/>
        <w:numPr>
          <w:ilvl w:val="0"/>
          <w:numId w:val="12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Navigate to Decisions menu. 2 decision definitions are deployed.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16077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77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numPr>
          <w:ilvl w:val="0"/>
          <w:numId w:val="13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Click on Assign Approve Group decision definition.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25265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65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You can see decision table definition and instance created of decision table.</w:t>
      </w:r>
    </w:p>
    <w:p>
      <w:pPr>
        <w:keepNext w:val="0"/>
        <w:keepLines w:val="0"/>
        <w:pageBreakBefore w:val="0"/>
        <w:widowControl w:val="1"/>
        <w:numPr>
          <w:ilvl w:val="0"/>
          <w:numId w:val="14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View decision table instance input and output.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-167639</wp:posOffset>
            </wp:positionH>
            <wp:positionV relativeFrom="line">
              <wp:posOffset>472145</wp:posOffset>
            </wp:positionV>
            <wp:extent cx="5727700" cy="22520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2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Input 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 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Invoice Classification = day-to-day-expense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24525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2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Output : 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Definition table execution has produced multiple outputs for variable </w:t>
      </w: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 xml:space="preserve">Approve Group  =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accounting, sales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5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Batches :</w:t>
      </w:r>
      <w:r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33055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5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outline w:val="0"/>
          <w:color w:val="263238"/>
          <w:sz w:val="28"/>
          <w:szCs w:val="28"/>
          <w:u w:color="263238"/>
          <w:shd w:val="clear" w:color="auto" w:fill="ffffff"/>
          <w:rtl w:val="0"/>
          <w14:textFill>
            <w14:solidFill>
              <w14:srgbClr w14:val="263238"/>
            </w14:solidFill>
          </w14:textFill>
        </w:rPr>
      </w:pPr>
      <w:r>
        <w:rPr>
          <w:rFonts w:ascii="Proxima Nova" w:hAnsi="Proxima Nova"/>
          <w:outline w:val="0"/>
          <w:color w:val="263238"/>
          <w:sz w:val="28"/>
          <w:szCs w:val="28"/>
          <w:u w:color="263238"/>
          <w:shd w:val="clear" w:color="auto" w:fill="ffffff"/>
          <w:rtl w:val="0"/>
          <w:lang w:val="en-US"/>
          <w14:textFill>
            <w14:solidFill>
              <w14:srgbClr w14:val="263238"/>
            </w14:solidFill>
          </w14:textFill>
        </w:rPr>
        <w:t>Batch is a concept to offload workload from the current execution to be processed in the background. This allows to run a process engine command asynchronously on a large set of instances without blocking.</w:t>
      </w:r>
      <w:r>
        <w:rPr>
          <w:rFonts w:ascii="Proxima Nova" w:hAnsi="Proxima Nova" w:hint="default"/>
          <w:outline w:val="0"/>
          <w:color w:val="263238"/>
          <w:sz w:val="28"/>
          <w:szCs w:val="28"/>
          <w:u w:color="263238"/>
          <w:shd w:val="clear" w:color="auto" w:fill="ffffff"/>
          <w:rtl w:val="0"/>
          <w14:textFill>
            <w14:solidFill>
              <w14:srgbClr w14:val="263238"/>
            </w14:solidFill>
          </w14:textFill>
        </w:rPr>
        <w:t> 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outline w:val="0"/>
          <w:color w:val="263238"/>
          <w:sz w:val="28"/>
          <w:szCs w:val="28"/>
          <w:u w:color="263238"/>
          <w:shd w:val="clear" w:color="auto" w:fill="ffffff"/>
          <w:rtl w:val="0"/>
          <w14:textFill>
            <w14:solidFill>
              <w14:srgbClr w14:val="263238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For example the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process instance migration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command can be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executed using a batch. This allows to migrate process instances asynchronously.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A batch executes the migration in smaller chunks, each using a single transaction.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outline w:val="0"/>
          <w:color w:val="555555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Benefits:</w:t>
      </w:r>
    </w:p>
    <w:p>
      <w:pPr>
        <w:pStyle w:val="Default"/>
        <w:numPr>
          <w:ilvl w:val="0"/>
          <w:numId w:val="16"/>
        </w:numPr>
        <w:bidi w:val="0"/>
        <w:spacing w:line="240" w:lineRule="auto"/>
        <w:ind w:right="0"/>
        <w:jc w:val="both"/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</w:pPr>
      <w:r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asynchronous (non-blocking) execution</w:t>
      </w:r>
    </w:p>
    <w:p>
      <w:pPr>
        <w:pStyle w:val="Default"/>
        <w:numPr>
          <w:ilvl w:val="0"/>
          <w:numId w:val="16"/>
        </w:numPr>
        <w:bidi w:val="0"/>
        <w:spacing w:line="240" w:lineRule="auto"/>
        <w:ind w:right="0"/>
        <w:jc w:val="both"/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</w:pPr>
      <w:r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execution can utilize multiple threads and job executors</w:t>
      </w:r>
    </w:p>
    <w:p>
      <w:pPr>
        <w:pStyle w:val="Default"/>
        <w:numPr>
          <w:ilvl w:val="0"/>
          <w:numId w:val="16"/>
        </w:numPr>
        <w:bidi w:val="0"/>
        <w:spacing w:line="240" w:lineRule="auto"/>
        <w:ind w:right="0"/>
        <w:jc w:val="both"/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</w:pPr>
      <w:r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decoupling of execution, i.e., every batch execution job uses its own transaction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outline w:val="0"/>
          <w:color w:val="555555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outline w:val="0"/>
          <w:color w:val="555555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Disadvantages:</w:t>
      </w:r>
    </w:p>
    <w:p>
      <w:pPr>
        <w:pStyle w:val="Default"/>
        <w:numPr>
          <w:ilvl w:val="0"/>
          <w:numId w:val="16"/>
        </w:numPr>
        <w:bidi w:val="0"/>
        <w:spacing w:line="240" w:lineRule="auto"/>
        <w:ind w:right="0"/>
        <w:jc w:val="both"/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</w:pPr>
      <w:r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manual polling for completion of the batch</w:t>
      </w:r>
    </w:p>
    <w:p>
      <w:pPr>
        <w:pStyle w:val="Default"/>
        <w:numPr>
          <w:ilvl w:val="0"/>
          <w:numId w:val="16"/>
        </w:numPr>
        <w:bidi w:val="0"/>
        <w:spacing w:line="240" w:lineRule="auto"/>
        <w:ind w:right="0"/>
        <w:jc w:val="both"/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</w:pPr>
      <w:r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contention with other jobs executed by the process engine</w:t>
      </w:r>
    </w:p>
    <w:p>
      <w:pPr>
        <w:pStyle w:val="Default"/>
        <w:numPr>
          <w:ilvl w:val="0"/>
          <w:numId w:val="16"/>
        </w:numPr>
        <w:bidi w:val="0"/>
        <w:spacing w:line="240" w:lineRule="auto"/>
        <w:ind w:right="0"/>
        <w:jc w:val="both"/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</w:pPr>
      <w:r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a batch can fail partially while a subset was already executed, e.g., some process instances were migrated where others failed</w:t>
      </w:r>
    </w:p>
    <w:p>
      <w:pPr>
        <w:pStyle w:val="Default"/>
        <w:tabs>
          <w:tab w:val="left" w:pos="220"/>
          <w:tab w:val="left" w:pos="720"/>
        </w:tabs>
        <w:bidi w:val="0"/>
        <w:spacing w:line="240" w:lineRule="auto"/>
        <w:ind w:left="720" w:right="0" w:hanging="720"/>
        <w:jc w:val="both"/>
        <w:rPr>
          <w:rFonts w:ascii="Proxima Nova" w:cs="Proxima Nova" w:hAnsi="Proxima Nova" w:eastAsia="Proxima Nova"/>
          <w:outline w:val="0"/>
          <w:color w:val="555555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The batch utilizes the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fldChar w:fldCharType="begin" w:fldLock="0"/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instrText xml:space="preserve"> HYPERLINK "https://docs.camunda.org/manual/7.6/user-guide/process-engine/the-job-executor/"</w:instrTex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fldChar w:fldCharType="separate" w:fldLock="0"/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job executor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fldChar w:fldCharType="end" w:fldLock="0"/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of the process engine to execute the batch jobs. A single batch consists of three job types:</w:t>
      </w:r>
    </w:p>
    <w:p>
      <w:pPr>
        <w:pStyle w:val="Default"/>
        <w:numPr>
          <w:ilvl w:val="0"/>
          <w:numId w:val="16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 xml:space="preserve">Seed job: 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creates all batch execution jobs required to complete the batch</w:t>
      </w:r>
    </w:p>
    <w:p>
      <w:pPr>
        <w:pStyle w:val="Default"/>
        <w:numPr>
          <w:ilvl w:val="0"/>
          <w:numId w:val="16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 xml:space="preserve">Execution jobs: 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the actual execution of the batch command, e.g., the process instance migration</w:t>
      </w:r>
    </w:p>
    <w:p>
      <w:pPr>
        <w:pStyle w:val="Default"/>
        <w:numPr>
          <w:ilvl w:val="0"/>
          <w:numId w:val="16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</w:rPr>
        <w:t xml:space="preserve">Monitor job: 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after the seed job finished, it monitors the progress of the batch execution and completion</w:t>
      </w:r>
    </w:p>
    <w:p>
      <w:pPr>
        <w:pStyle w:val="Default"/>
        <w:tabs>
          <w:tab w:val="left" w:pos="220"/>
          <w:tab w:val="left" w:pos="720"/>
        </w:tabs>
        <w:bidi w:val="0"/>
        <w:spacing w:line="240" w:lineRule="auto"/>
        <w:ind w:left="720" w:right="0" w:hanging="72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240" w:lineRule="auto"/>
        <w:ind w:left="720" w:right="0" w:hanging="72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240" w:lineRule="auto"/>
        <w:ind w:left="720" w:right="0" w:hanging="720"/>
        <w:jc w:val="both"/>
        <w:rPr>
          <w:rFonts w:ascii="Proxima Nova" w:cs="Proxima Nova" w:hAnsi="Proxima Nova" w:eastAsia="Proxima Nova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Monitor batches:</w:t>
      </w:r>
    </w:p>
    <w:p>
      <w:pPr>
        <w:pStyle w:val="Default"/>
        <w:tabs>
          <w:tab w:val="left" w:pos="220"/>
          <w:tab w:val="left" w:pos="720"/>
        </w:tabs>
        <w:bidi w:val="0"/>
        <w:spacing w:line="240" w:lineRule="auto"/>
        <w:ind w:left="720" w:right="0" w:hanging="720"/>
        <w:jc w:val="both"/>
        <w:rPr>
          <w:rFonts w:ascii="Proxima Nova" w:cs="Proxima Nova" w:hAnsi="Proxima Nova" w:eastAsia="Proxima Nova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You can monitor in progress batches, ended batches, failed jobs for a batch.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A batch is created by executing a process engine command asynchronously.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Currently supported commands:</w:t>
      </w:r>
    </w:p>
    <w:p>
      <w:pPr>
        <w:pStyle w:val="Default"/>
        <w:numPr>
          <w:ilvl w:val="0"/>
          <w:numId w:val="17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Process Instance Migration</w:t>
      </w:r>
    </w:p>
    <w:p>
      <w:pPr>
        <w:pStyle w:val="Default"/>
        <w:numPr>
          <w:ilvl w:val="0"/>
          <w:numId w:val="17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Cancellation of running Process Instances</w:t>
      </w:r>
    </w:p>
    <w:p>
      <w:pPr>
        <w:pStyle w:val="Default"/>
        <w:numPr>
          <w:ilvl w:val="0"/>
          <w:numId w:val="17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Deletion of Historic Process Instances</w:t>
      </w:r>
    </w:p>
    <w:p>
      <w:pPr>
        <w:pStyle w:val="Default"/>
        <w:numPr>
          <w:ilvl w:val="0"/>
          <w:numId w:val="17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Setting retries of jobs associated with Process Instances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r>
    </w:p>
    <w:sectPr>
      <w:headerReference w:type="default" r:id="rId28"/>
      <w:footerReference w:type="default" r:id="rId29"/>
      <w:pgSz w:w="11900" w:h="16840" w:orient="portrait"/>
      <w:pgMar w:top="720" w:right="1440" w:bottom="2300" w:left="1440" w:header="700" w:footer="70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roxima Nova">
    <w:charset w:val="00"/>
    <w:family w:val="roman"/>
    <w:pitch w:val="default"/>
  </w:font>
  <w:font w:name="Proxima Nova Medium">
    <w:charset w:val="00"/>
    <w:family w:val="roman"/>
    <w:pitch w:val="default"/>
  </w:font>
  <w:font w:name="Comic Sans MS">
    <w:charset w:val="00"/>
    <w:family w:val="roman"/>
    <w:pitch w:val="default"/>
  </w:font>
  <w:font w:name="Canela Text Regular">
    <w:charset w:val="00"/>
    <w:family w:val="roman"/>
    <w:pitch w:val="default"/>
  </w:font>
  <w:font w:name="Helvetica Neue">
    <w:charset w:val="00"/>
    <w:family w:val="roman"/>
    <w:pitch w:val="default"/>
  </w:font>
  <w:font w:name="Canela Deck Bold">
    <w:charset w:val="00"/>
    <w:family w:val="roman"/>
    <w:pitch w:val="default"/>
  </w:font>
  <w:font w:name="Georgia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‣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‣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‣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‣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‣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‣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‣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‣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‣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263238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263238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263238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263238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263238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263238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263238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263238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263238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6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8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1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4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7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0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2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5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"/>
  </w:abstractNum>
  <w:abstractNum w:abstractNumId="5">
    <w:multiLevelType w:val="hybridMultilevel"/>
    <w:styleLink w:val="Bullet"/>
    <w:lvl w:ilvl="0">
      <w:start w:val="1"/>
      <w:numFmt w:val="bullet"/>
      <w:suff w:val="tab"/>
      <w:lvlText w:val="‣"/>
      <w:lvlJc w:val="left"/>
      <w:pPr>
        <w:ind w:left="7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7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9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1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53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75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7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9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1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2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lvl w:ilvl="0">
        <w:start w:val="1"/>
        <w:numFmt w:val="bullet"/>
        <w:suff w:val="tab"/>
        <w:lvlText w:val="‣"/>
        <w:lvlJc w:val="left"/>
        <w:pPr>
          <w:ind w:left="643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‣"/>
        <w:lvlJc w:val="left"/>
        <w:pPr>
          <w:ind w:left="10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‣"/>
        <w:lvlJc w:val="left"/>
        <w:pPr>
          <w:ind w:left="18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‣"/>
        <w:lvlJc w:val="left"/>
        <w:pPr>
          <w:ind w:left="25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‣"/>
        <w:lvlJc w:val="left"/>
        <w:pPr>
          <w:ind w:left="32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‣"/>
        <w:lvlJc w:val="left"/>
        <w:pPr>
          <w:ind w:left="39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‣"/>
        <w:lvlJc w:val="left"/>
        <w:pPr>
          <w:ind w:left="46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‣"/>
        <w:lvlJc w:val="left"/>
        <w:pPr>
          <w:ind w:left="54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‣"/>
        <w:lvlJc w:val="left"/>
        <w:pPr>
          <w:ind w:left="61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  <w:lvlOverride w:ilvl="0">
      <w:lvl w:ilvl="0">
        <w:start w:val="1"/>
        <w:numFmt w:val="bullet"/>
        <w:suff w:val="tab"/>
        <w:lvlText w:val="‣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‣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‣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‣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‣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‣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‣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‣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‣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‣"/>
        <w:lvlJc w:val="left"/>
        <w:pPr>
          <w:ind w:left="2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‣"/>
        <w:lvlJc w:val="left"/>
        <w:pPr>
          <w:ind w:left="100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‣"/>
        <w:lvlJc w:val="left"/>
        <w:pPr>
          <w:ind w:left="172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‣"/>
        <w:lvlJc w:val="left"/>
        <w:pPr>
          <w:ind w:left="244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‣"/>
        <w:lvlJc w:val="left"/>
        <w:pPr>
          <w:ind w:left="316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‣"/>
        <w:lvlJc w:val="left"/>
        <w:pPr>
          <w:ind w:left="38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‣"/>
        <w:lvlJc w:val="left"/>
        <w:pPr>
          <w:ind w:left="460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‣"/>
        <w:lvlJc w:val="left"/>
        <w:pPr>
          <w:ind w:left="532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‣"/>
        <w:lvlJc w:val="left"/>
        <w:pPr>
          <w:ind w:left="604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bullet"/>
        <w:suff w:val="tab"/>
        <w:lvlText w:val="‣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‣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‣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‣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‣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‣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‣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‣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‣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0"/>
    <w:lvlOverride w:ilvl="0">
      <w:lvl w:ilvl="0">
        <w:start w:val="1"/>
        <w:numFmt w:val="bullet"/>
        <w:suff w:val="tab"/>
        <w:lvlText w:val="‣"/>
        <w:lvlJc w:val="left"/>
        <w:pPr>
          <w:ind w:left="3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‣"/>
        <w:lvlJc w:val="left"/>
        <w:pPr>
          <w:ind w:left="10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‣"/>
        <w:lvlJc w:val="left"/>
        <w:pPr>
          <w:ind w:left="18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‣"/>
        <w:lvlJc w:val="left"/>
        <w:pPr>
          <w:ind w:left="25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‣"/>
        <w:lvlJc w:val="left"/>
        <w:pPr>
          <w:ind w:left="32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‣"/>
        <w:lvlJc w:val="left"/>
        <w:pPr>
          <w:ind w:left="39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‣"/>
        <w:lvlJc w:val="left"/>
        <w:pPr>
          <w:ind w:left="46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‣"/>
        <w:lvlJc w:val="left"/>
        <w:pPr>
          <w:ind w:left="54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‣"/>
        <w:lvlJc w:val="left"/>
        <w:pPr>
          <w:ind w:left="61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1"/>
  </w:num>
  <w:num w:numId="8">
    <w:abstractNumId w:val="3"/>
  </w:num>
  <w:num w:numId="9">
    <w:abstractNumId w:val="2"/>
  </w:num>
  <w:num w:numId="10">
    <w:abstractNumId w:val="2"/>
    <w:lvlOverride w:ilvl="0">
      <w:startOverride w:val="2"/>
    </w:lvlOverride>
  </w:num>
  <w:num w:numId="11">
    <w:abstractNumId w:val="2"/>
    <w:lvlOverride w:ilvl="0">
      <w:startOverride w:val="3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2"/>
    </w:lvlOverride>
  </w:num>
  <w:num w:numId="14">
    <w:abstractNumId w:val="1"/>
    <w:lvlOverride w:ilvl="0">
      <w:startOverride w:val="3"/>
    </w:lvlOverride>
  </w:num>
  <w:num w:numId="15">
    <w:abstractNumId w:val="5"/>
  </w:num>
  <w:num w:numId="16">
    <w:abstractNumId w:val="4"/>
  </w:num>
  <w:num w:numId="17">
    <w:abstractNumId w:val="4"/>
    <w:lvlOverride w:ilvl="0">
      <w:lvl w:ilvl="0">
        <w:start w:val="1"/>
        <w:numFmt w:val="bullet"/>
        <w:suff w:val="tab"/>
        <w:lvlText w:val="‣"/>
        <w:lvlJc w:val="left"/>
        <w:pPr>
          <w:ind w:left="7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78" w:hanging="43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098" w:hanging="43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18" w:hanging="43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538" w:hanging="43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758" w:hanging="43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978" w:hanging="43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198" w:hanging="43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18" w:hanging="43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Addressee">
    <w:name w:val="Addressee"/>
    <w:next w:val="Sub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heading">
    <w:name w:val="Subheading"/>
    <w:next w:val="Body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1"/>
    </w:pPr>
    <w:rPr>
      <w:rFonts w:ascii="Proxima Nova Medium" w:cs="Arial Unicode MS" w:hAnsi="Proxima Nova Medium" w:eastAsia="Arial Unicode MS"/>
      <w:b w:val="0"/>
      <w:bCs w:val="0"/>
      <w:i w:val="0"/>
      <w:iCs w:val="0"/>
      <w:caps w:val="1"/>
      <w:strike w:val="0"/>
      <w:dstrike w:val="0"/>
      <w:outline w:val="0"/>
      <w:color w:val="49494b"/>
      <w:spacing w:val="9"/>
      <w:kern w:val="0"/>
      <w:position w:val="0"/>
      <w:sz w:val="18"/>
      <w:szCs w:val="18"/>
      <w:u w:val="none"/>
      <w:shd w:val="nil" w:color="auto" w:fill="auto"/>
      <w:vertAlign w:val="baseline"/>
      <w14:textOutline>
        <w14:noFill/>
      </w14:textOutline>
      <w14:textFill>
        <w14:solidFill>
          <w14:srgbClr w14:val="4A4A4B"/>
        </w14:solidFill>
      </w14:textFill>
    </w:rPr>
  </w:style>
  <w:style w:type="paragraph" w:styleId="Body 4">
    <w:name w:val="Body 4"/>
    <w:next w:val="Body 4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abel Dark">
    <w:name w:val="Label Dark"/>
    <w:next w:val="Label Dark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nela Deck Bold" w:cs="Canela Deck Bold" w:hAnsi="Canela Deck Bold" w:eastAsia="Canela Deck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9"/>
    </w:pPr>
    <w:rPr>
      <w:rFonts w:ascii="Canela Text Regular" w:cs="Arial Unicode MS" w:hAnsi="Canela Text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8"/>
      </w:numPr>
    </w:pPr>
  </w:style>
  <w:style w:type="numbering" w:styleId="Bullet">
    <w:name w:val="Bullet"/>
    <w:pPr>
      <w:numPr>
        <w:numId w:val="1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9_PersonalLetter">
  <a:themeElements>
    <a:clrScheme name="29_PersonalLetter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B9CAD3"/>
      </a:accent1>
      <a:accent2>
        <a:srgbClr val="8CBAD7"/>
      </a:accent2>
      <a:accent3>
        <a:srgbClr val="B5AFC4"/>
      </a:accent3>
      <a:accent4>
        <a:srgbClr val="E8A6B1"/>
      </a:accent4>
      <a:accent5>
        <a:srgbClr val="FF8A6E"/>
      </a:accent5>
      <a:accent6>
        <a:srgbClr val="E2CF91"/>
      </a:accent6>
      <a:hlink>
        <a:srgbClr val="0000FF"/>
      </a:hlink>
      <a:folHlink>
        <a:srgbClr val="FF00FF"/>
      </a:folHlink>
    </a:clrScheme>
    <a:fontScheme name="29_PersonalLetter">
      <a:majorFont>
        <a:latin typeface="Canela Deck Bold"/>
        <a:ea typeface="Canela Deck Bold"/>
        <a:cs typeface="Canela Deck Bold"/>
      </a:majorFont>
      <a:minorFont>
        <a:latin typeface="Canela Text Medium"/>
        <a:ea typeface="Canela Text Medium"/>
        <a:cs typeface="Canela Text Medium"/>
      </a:minorFont>
    </a:fontScheme>
    <a:fmtScheme name="29_PersonalLett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15431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-28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Canela Deck 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rgbClr val="EF897B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roxima Nova"/>
            <a:ea typeface="Proxima Nova"/>
            <a:cs typeface="Proxima Nova"/>
            <a:sym typeface="Proxima Nov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