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696"/>
        <w:gridCol w:w="7230"/>
      </w:tblGrid>
      <w:tr w:rsidR="004E0788" w:rsidTr="00396516">
        <w:tc>
          <w:tcPr>
            <w:tcW w:w="1696" w:type="dxa"/>
          </w:tcPr>
          <w:p w:rsidR="004E0788" w:rsidRPr="00396516" w:rsidRDefault="004E0788" w:rsidP="00396516">
            <w:pPr>
              <w:rPr>
                <w:rFonts w:asciiTheme="majorHAnsi" w:hAnsiTheme="majorHAnsi" w:cstheme="majorHAnsi"/>
              </w:rPr>
            </w:pPr>
            <w:r>
              <w:rPr>
                <w:rFonts w:asciiTheme="majorHAnsi" w:hAnsiTheme="majorHAnsi" w:cstheme="majorHAnsi"/>
              </w:rPr>
              <w:t>Title</w:t>
            </w:r>
          </w:p>
        </w:tc>
        <w:tc>
          <w:tcPr>
            <w:tcW w:w="7230" w:type="dxa"/>
          </w:tcPr>
          <w:p w:rsidR="004E0788" w:rsidRPr="00396516" w:rsidRDefault="00A853C3" w:rsidP="004E0788">
            <w:pPr>
              <w:rPr>
                <w:rFonts w:asciiTheme="majorHAnsi" w:hAnsiTheme="majorHAnsi" w:cstheme="majorHAnsi"/>
              </w:rPr>
            </w:pPr>
            <w:r w:rsidRPr="00A853C3">
              <w:rPr>
                <w:rFonts w:asciiTheme="majorHAnsi" w:hAnsiTheme="majorHAnsi" w:cstheme="majorHAnsi"/>
              </w:rPr>
              <w:t>Shifting access to pools of shoot water sustains gas exchange and increases stem hydraulic safety during seasonal atmospheric drought.</w:t>
            </w:r>
            <w:r>
              <w:rPr>
                <w:rFonts w:asciiTheme="majorHAnsi" w:hAnsiTheme="majorHAnsi" w:cstheme="majorHAnsi"/>
              </w:rPr>
              <w:br/>
            </w: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rPr>
              <w:t>Abstract</w:t>
            </w:r>
          </w:p>
        </w:tc>
        <w:tc>
          <w:tcPr>
            <w:tcW w:w="7230" w:type="dxa"/>
          </w:tcPr>
          <w:p w:rsidR="00396516" w:rsidRPr="00396516" w:rsidRDefault="00A853C3" w:rsidP="00396516">
            <w:pPr>
              <w:jc w:val="both"/>
              <w:rPr>
                <w:rFonts w:asciiTheme="majorHAnsi" w:hAnsiTheme="majorHAnsi" w:cstheme="majorHAnsi"/>
              </w:rPr>
            </w:pPr>
            <w:r w:rsidRPr="00A853C3">
              <w:rPr>
                <w:rFonts w:asciiTheme="majorHAnsi" w:hAnsiTheme="majorHAnsi" w:cstheme="majorHAnsi"/>
              </w:rPr>
              <w:t>Understanding how plants acclimate to drought is crucial for predicting future vulnerability, yet seasonal acclimation of traits that improve drought tolerance in trees remains poorly resolved. We hypothesized that dry season acclimation of leaf and stem traits influencing shoot water storage and hydraulic capacitance would mitigate the drought-associated risks of reduced gas exchange and hydraulic failure in the mangrove Sonneratia alba. By late dry season, availability of stored water had shifted within leaves and between leaves and stems. While whole shoot capacitance remained stable, the symplastic fraction of leaf water increased 86%, leaf capacitance increased 104% and stem capacitance declined 80%. Despite declining plant water potentials, leaf and whole plant hydraulic conductance remained unchanged, and midday assimilation rates increased. Further, the available leaf water between the minimum water potential observed and that corresponding to 50% loss of stem conductance increased 111%.  Shifting availability of pools of water, within and between organs, maintained leaf water available to buffer periods of increased photosynthesis and losses in stem hydraulic conductivity, mitigating risks of carbon depletion and hydraulic failure during atmospheric drought. Shifting access to tissue and organ water may have an important role in drought acclimation and avoidance.</w:t>
            </w:r>
            <w:r>
              <w:rPr>
                <w:rFonts w:asciiTheme="majorHAnsi" w:hAnsiTheme="majorHAnsi" w:cstheme="majorHAnsi"/>
              </w:rPr>
              <w:br/>
            </w: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rPr>
              <w:t>Data author</w:t>
            </w:r>
          </w:p>
        </w:tc>
        <w:tc>
          <w:tcPr>
            <w:tcW w:w="7230" w:type="dxa"/>
          </w:tcPr>
          <w:p w:rsidR="00A853C3" w:rsidRDefault="00396516" w:rsidP="00396516">
            <w:pPr>
              <w:jc w:val="both"/>
              <w:rPr>
                <w:rFonts w:asciiTheme="majorHAnsi" w:hAnsiTheme="majorHAnsi" w:cstheme="majorHAnsi"/>
              </w:rPr>
            </w:pPr>
            <w:r w:rsidRPr="00396516">
              <w:rPr>
                <w:rFonts w:asciiTheme="majorHAnsi" w:hAnsiTheme="majorHAnsi" w:cstheme="majorHAnsi"/>
              </w:rPr>
              <w:t>Callum James Bryant, Australian National University</w:t>
            </w:r>
          </w:p>
          <w:p w:rsidR="00A853C3" w:rsidRDefault="00A853C3" w:rsidP="00396516">
            <w:pPr>
              <w:jc w:val="both"/>
              <w:rPr>
                <w:rFonts w:asciiTheme="majorHAnsi" w:hAnsiTheme="majorHAnsi" w:cstheme="majorHAnsi"/>
              </w:rPr>
            </w:pPr>
            <w:r>
              <w:rPr>
                <w:rFonts w:asciiTheme="majorHAnsi" w:hAnsiTheme="majorHAnsi" w:cstheme="majorHAnsi"/>
              </w:rPr>
              <w:t>PhD Student</w:t>
            </w:r>
          </w:p>
          <w:p w:rsidR="00396516" w:rsidRPr="00396516" w:rsidRDefault="00396516" w:rsidP="00396516">
            <w:pPr>
              <w:jc w:val="both"/>
              <w:rPr>
                <w:rFonts w:asciiTheme="majorHAnsi" w:hAnsiTheme="majorHAnsi" w:cstheme="majorHAnsi"/>
              </w:rPr>
            </w:pP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rPr>
              <w:t>Research group leader</w:t>
            </w:r>
          </w:p>
        </w:tc>
        <w:tc>
          <w:tcPr>
            <w:tcW w:w="7230" w:type="dxa"/>
          </w:tcPr>
          <w:p w:rsidR="00396516" w:rsidRPr="00396516" w:rsidRDefault="00396516" w:rsidP="00396516">
            <w:pPr>
              <w:jc w:val="both"/>
              <w:rPr>
                <w:rFonts w:asciiTheme="majorHAnsi" w:hAnsiTheme="majorHAnsi" w:cstheme="majorHAnsi"/>
              </w:rPr>
            </w:pPr>
            <w:r w:rsidRPr="00396516">
              <w:rPr>
                <w:rFonts w:asciiTheme="majorHAnsi" w:hAnsiTheme="majorHAnsi" w:cstheme="majorHAnsi"/>
                <w:color w:val="000000"/>
              </w:rPr>
              <w:t>Marilyn C. Ball</w:t>
            </w:r>
          </w:p>
        </w:tc>
      </w:tr>
      <w:tr w:rsidR="004E0788" w:rsidTr="00396516">
        <w:tc>
          <w:tcPr>
            <w:tcW w:w="1696" w:type="dxa"/>
          </w:tcPr>
          <w:p w:rsidR="004E0788" w:rsidRPr="00396516" w:rsidRDefault="004E0788" w:rsidP="00396516">
            <w:pPr>
              <w:rPr>
                <w:rFonts w:asciiTheme="majorHAnsi" w:hAnsiTheme="majorHAnsi" w:cstheme="majorHAnsi"/>
              </w:rPr>
            </w:pPr>
            <w:r>
              <w:rPr>
                <w:rFonts w:asciiTheme="majorHAnsi" w:hAnsiTheme="majorHAnsi" w:cstheme="majorHAnsi"/>
              </w:rPr>
              <w:t>Contents</w:t>
            </w:r>
          </w:p>
        </w:tc>
        <w:tc>
          <w:tcPr>
            <w:tcW w:w="7230" w:type="dxa"/>
          </w:tcPr>
          <w:p w:rsidR="004E0788" w:rsidRPr="00BD1447" w:rsidRDefault="004E0788"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1</w:t>
            </w:r>
            <w:r w:rsidR="00BD1447" w:rsidRPr="00BD1447">
              <w:rPr>
                <w:rFonts w:asciiTheme="majorHAnsi" w:hAnsiTheme="majorHAnsi" w:cstheme="majorHAnsi"/>
                <w:color w:val="000000"/>
                <w:sz w:val="20"/>
              </w:rPr>
              <w:t xml:space="preserve"> -</w:t>
            </w:r>
            <w:r w:rsidRPr="00BD1447">
              <w:rPr>
                <w:rFonts w:asciiTheme="majorHAnsi" w:hAnsiTheme="majorHAnsi" w:cstheme="majorHAnsi"/>
                <w:color w:val="000000"/>
                <w:sz w:val="20"/>
              </w:rPr>
              <w:t xml:space="preserve">  Raw pressure-volume curve data</w:t>
            </w:r>
            <w:r w:rsidR="00BD1447" w:rsidRPr="00BD1447">
              <w:rPr>
                <w:rFonts w:asciiTheme="majorHAnsi" w:hAnsiTheme="majorHAnsi" w:cstheme="majorHAnsi"/>
                <w:color w:val="000000"/>
                <w:sz w:val="20"/>
              </w:rPr>
              <w:t>.xlsx</w:t>
            </w:r>
          </w:p>
          <w:p w:rsidR="004E0788" w:rsidRPr="00BD1447" w:rsidRDefault="004E0788"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2</w:t>
            </w:r>
            <w:r w:rsidR="00BD1447" w:rsidRPr="00BD1447">
              <w:rPr>
                <w:rFonts w:asciiTheme="majorHAnsi" w:hAnsiTheme="majorHAnsi" w:cstheme="majorHAnsi"/>
                <w:color w:val="000000"/>
                <w:sz w:val="20"/>
              </w:rPr>
              <w:t xml:space="preserve"> -</w:t>
            </w:r>
            <w:r w:rsidRPr="00BD1447">
              <w:rPr>
                <w:rFonts w:asciiTheme="majorHAnsi" w:hAnsiTheme="majorHAnsi" w:cstheme="majorHAnsi"/>
                <w:color w:val="000000"/>
                <w:sz w:val="20"/>
              </w:rPr>
              <w:t xml:space="preserve"> Summary of PV curved derived values</w:t>
            </w:r>
            <w:r w:rsidR="007A3F76" w:rsidRPr="00BD1447">
              <w:rPr>
                <w:rFonts w:asciiTheme="majorHAnsi" w:hAnsiTheme="majorHAnsi" w:cstheme="majorHAnsi"/>
                <w:color w:val="000000"/>
                <w:sz w:val="20"/>
              </w:rPr>
              <w:t xml:space="preserve"> for each leaf measured</w:t>
            </w:r>
            <w:r w:rsidR="00BD1447" w:rsidRPr="00BD1447">
              <w:rPr>
                <w:rFonts w:asciiTheme="majorHAnsi" w:hAnsiTheme="majorHAnsi" w:cstheme="majorHAnsi"/>
                <w:color w:val="000000"/>
                <w:sz w:val="20"/>
              </w:rPr>
              <w:t>.xlsx</w:t>
            </w:r>
          </w:p>
          <w:p w:rsidR="004E0788" w:rsidRPr="00BD1447" w:rsidRDefault="007A3F76"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3</w:t>
            </w:r>
            <w:r w:rsidR="00BD1447" w:rsidRPr="00BD1447">
              <w:rPr>
                <w:rFonts w:asciiTheme="majorHAnsi" w:hAnsiTheme="majorHAnsi" w:cstheme="majorHAnsi"/>
                <w:color w:val="000000"/>
                <w:sz w:val="20"/>
              </w:rPr>
              <w:t xml:space="preserve"> -</w:t>
            </w:r>
            <w:r w:rsidRPr="00BD1447">
              <w:rPr>
                <w:rFonts w:asciiTheme="majorHAnsi" w:hAnsiTheme="majorHAnsi" w:cstheme="majorHAnsi"/>
                <w:color w:val="000000"/>
                <w:sz w:val="20"/>
              </w:rPr>
              <w:t xml:space="preserve"> </w:t>
            </w:r>
            <w:r w:rsidR="004E0788" w:rsidRPr="00BD1447">
              <w:rPr>
                <w:rFonts w:asciiTheme="majorHAnsi" w:hAnsiTheme="majorHAnsi" w:cstheme="majorHAnsi"/>
                <w:color w:val="000000"/>
                <w:sz w:val="20"/>
              </w:rPr>
              <w:t>Gmin calculation sheet for each leaf rep</w:t>
            </w:r>
            <w:r w:rsidR="00BD1447" w:rsidRPr="00BD1447">
              <w:rPr>
                <w:rFonts w:asciiTheme="majorHAnsi" w:hAnsiTheme="majorHAnsi" w:cstheme="majorHAnsi"/>
                <w:color w:val="000000"/>
                <w:sz w:val="20"/>
              </w:rPr>
              <w:t>.xlsx</w:t>
            </w:r>
          </w:p>
          <w:p w:rsidR="004E0788" w:rsidRPr="00BD1447" w:rsidRDefault="004E0788"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4</w:t>
            </w:r>
            <w:r w:rsidR="00BD1447" w:rsidRPr="00BD1447">
              <w:rPr>
                <w:rFonts w:asciiTheme="majorHAnsi" w:hAnsiTheme="majorHAnsi" w:cstheme="majorHAnsi"/>
                <w:color w:val="000000"/>
                <w:sz w:val="20"/>
              </w:rPr>
              <w:t xml:space="preserve"> -</w:t>
            </w:r>
            <w:r w:rsidRPr="00BD1447">
              <w:rPr>
                <w:rFonts w:asciiTheme="majorHAnsi" w:hAnsiTheme="majorHAnsi" w:cstheme="majorHAnsi"/>
                <w:color w:val="000000"/>
                <w:sz w:val="20"/>
              </w:rPr>
              <w:t xml:space="preserve"> Summary of gmin values per leaf rep</w:t>
            </w:r>
            <w:r w:rsidR="00BD1447" w:rsidRPr="00BD1447">
              <w:rPr>
                <w:rFonts w:asciiTheme="majorHAnsi" w:hAnsiTheme="majorHAnsi" w:cstheme="majorHAnsi"/>
                <w:color w:val="000000"/>
                <w:sz w:val="20"/>
              </w:rPr>
              <w:t>.xlsx</w:t>
            </w:r>
          </w:p>
          <w:p w:rsidR="004E0788" w:rsidRPr="00BD1447" w:rsidRDefault="004E0788"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5</w:t>
            </w:r>
            <w:r w:rsidR="00BD1447" w:rsidRPr="00BD1447">
              <w:rPr>
                <w:rFonts w:asciiTheme="majorHAnsi" w:hAnsiTheme="majorHAnsi" w:cstheme="majorHAnsi"/>
                <w:color w:val="000000"/>
                <w:sz w:val="20"/>
              </w:rPr>
              <w:t xml:space="preserve"> -</w:t>
            </w:r>
            <w:r w:rsidRPr="00BD1447">
              <w:rPr>
                <w:rFonts w:asciiTheme="majorHAnsi" w:hAnsiTheme="majorHAnsi" w:cstheme="majorHAnsi"/>
                <w:color w:val="000000"/>
                <w:sz w:val="20"/>
              </w:rPr>
              <w:t xml:space="preserve"> </w:t>
            </w:r>
            <w:r w:rsidR="007A3F76" w:rsidRPr="00BD1447">
              <w:rPr>
                <w:rFonts w:asciiTheme="majorHAnsi" w:hAnsiTheme="majorHAnsi" w:cstheme="majorHAnsi"/>
                <w:color w:val="000000"/>
                <w:sz w:val="20"/>
              </w:rPr>
              <w:t>Shoot PV Curves raw and calculation sheet</w:t>
            </w:r>
            <w:r w:rsidR="00BD1447" w:rsidRPr="00BD1447">
              <w:rPr>
                <w:rFonts w:asciiTheme="majorHAnsi" w:hAnsiTheme="majorHAnsi" w:cstheme="majorHAnsi"/>
                <w:color w:val="000000"/>
                <w:sz w:val="20"/>
              </w:rPr>
              <w:t>.xlsx</w:t>
            </w:r>
          </w:p>
          <w:p w:rsidR="00BD1447" w:rsidRPr="00BD1447" w:rsidRDefault="004E0788"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6</w:t>
            </w:r>
            <w:r w:rsidR="00BD1447" w:rsidRPr="00BD1447">
              <w:rPr>
                <w:rFonts w:asciiTheme="majorHAnsi" w:hAnsiTheme="majorHAnsi" w:cstheme="majorHAnsi"/>
                <w:color w:val="000000"/>
                <w:sz w:val="20"/>
              </w:rPr>
              <w:t xml:space="preserve"> - Average shoot water release curves.xlsx</w:t>
            </w:r>
          </w:p>
          <w:p w:rsidR="00BD1447" w:rsidRPr="00BD1447" w:rsidRDefault="00BD1447"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7 - Data for plotting mean shoot water release curves.xlsx</w:t>
            </w:r>
          </w:p>
          <w:p w:rsidR="00BD1447" w:rsidRPr="00BD1447" w:rsidRDefault="00BD1447" w:rsidP="00396516">
            <w:pPr>
              <w:jc w:val="both"/>
              <w:rPr>
                <w:rFonts w:asciiTheme="majorHAnsi" w:hAnsiTheme="majorHAnsi" w:cstheme="majorHAnsi"/>
                <w:color w:val="000000"/>
                <w:sz w:val="20"/>
              </w:rPr>
            </w:pPr>
            <w:r w:rsidRPr="00BD1447">
              <w:rPr>
                <w:rFonts w:asciiTheme="majorHAnsi" w:hAnsiTheme="majorHAnsi" w:cstheme="majorHAnsi"/>
                <w:color w:val="000000"/>
                <w:sz w:val="20"/>
              </w:rPr>
              <w:t>8 - Leaf RWC at stem P50 calculations.xlsx</w:t>
            </w:r>
            <w:r w:rsidR="004E0788" w:rsidRPr="00BD1447">
              <w:rPr>
                <w:rFonts w:asciiTheme="majorHAnsi" w:hAnsiTheme="majorHAnsi" w:cstheme="majorHAnsi"/>
                <w:color w:val="000000"/>
                <w:sz w:val="20"/>
              </w:rPr>
              <w:t xml:space="preserve"> </w:t>
            </w:r>
          </w:p>
          <w:p w:rsidR="007A3F76" w:rsidRPr="00BD1447" w:rsidRDefault="00BD1447" w:rsidP="00BD1447">
            <w:pPr>
              <w:jc w:val="both"/>
              <w:rPr>
                <w:rFonts w:asciiTheme="majorHAnsi" w:hAnsiTheme="majorHAnsi" w:cstheme="majorHAnsi"/>
                <w:color w:val="000000"/>
                <w:sz w:val="20"/>
              </w:rPr>
            </w:pPr>
            <w:r w:rsidRPr="00BD1447">
              <w:rPr>
                <w:rFonts w:asciiTheme="majorHAnsi" w:hAnsiTheme="majorHAnsi" w:cstheme="majorHAnsi"/>
                <w:color w:val="000000"/>
                <w:sz w:val="20"/>
              </w:rPr>
              <w:t>9 - Instantaneous hydraulic capacitance calculations.xlsx</w:t>
            </w:r>
          </w:p>
          <w:p w:rsidR="00BD1447" w:rsidRPr="00BD1447" w:rsidRDefault="00BD1447" w:rsidP="00BD1447">
            <w:pPr>
              <w:jc w:val="both"/>
              <w:rPr>
                <w:rFonts w:asciiTheme="majorHAnsi" w:hAnsiTheme="majorHAnsi" w:cstheme="majorHAnsi"/>
                <w:color w:val="000000"/>
                <w:sz w:val="20"/>
              </w:rPr>
            </w:pPr>
            <w:r w:rsidRPr="00BD1447">
              <w:rPr>
                <w:rFonts w:asciiTheme="majorHAnsi" w:hAnsiTheme="majorHAnsi" w:cstheme="majorHAnsi"/>
                <w:color w:val="000000"/>
                <w:sz w:val="20"/>
              </w:rPr>
              <w:t>10 - Kestrel data hourly T and VPD averages by day to create seasonal averages.xlsx</w:t>
            </w:r>
          </w:p>
          <w:p w:rsidR="00BD1447" w:rsidRPr="00BD1447" w:rsidRDefault="00BD1447" w:rsidP="00BD1447">
            <w:pPr>
              <w:jc w:val="both"/>
              <w:rPr>
                <w:rFonts w:asciiTheme="majorHAnsi" w:hAnsiTheme="majorHAnsi" w:cstheme="majorHAnsi"/>
                <w:color w:val="000000"/>
                <w:sz w:val="20"/>
              </w:rPr>
            </w:pPr>
            <w:r w:rsidRPr="00BD1447">
              <w:rPr>
                <w:rFonts w:asciiTheme="majorHAnsi" w:hAnsiTheme="majorHAnsi" w:cstheme="majorHAnsi"/>
                <w:color w:val="000000"/>
                <w:sz w:val="20"/>
              </w:rPr>
              <w:t>11 - Diurnal gas exchange and hydraulic conductance.xlsx</w:t>
            </w:r>
          </w:p>
          <w:p w:rsidR="00BD1447" w:rsidRPr="00BD1447" w:rsidRDefault="00BD1447" w:rsidP="00BD1447">
            <w:pPr>
              <w:jc w:val="both"/>
              <w:rPr>
                <w:rFonts w:asciiTheme="majorHAnsi" w:hAnsiTheme="majorHAnsi" w:cstheme="majorHAnsi"/>
                <w:color w:val="000000"/>
                <w:sz w:val="20"/>
              </w:rPr>
            </w:pPr>
            <w:r w:rsidRPr="00BD1447">
              <w:rPr>
                <w:rFonts w:asciiTheme="majorHAnsi" w:hAnsiTheme="majorHAnsi" w:cstheme="majorHAnsi"/>
                <w:color w:val="000000"/>
                <w:sz w:val="20"/>
              </w:rPr>
              <w:t>12 - Pneumatic hydraulic vulnerability curves.xlsx</w:t>
            </w:r>
          </w:p>
          <w:p w:rsidR="00BD1447" w:rsidRPr="00BD1447" w:rsidRDefault="00BD1447" w:rsidP="00BD1447">
            <w:pPr>
              <w:jc w:val="both"/>
              <w:rPr>
                <w:rFonts w:asciiTheme="majorHAnsi" w:hAnsiTheme="majorHAnsi" w:cstheme="majorHAnsi"/>
                <w:color w:val="000000"/>
                <w:sz w:val="20"/>
              </w:rPr>
            </w:pPr>
            <w:r w:rsidRPr="00BD1447">
              <w:rPr>
                <w:rFonts w:asciiTheme="majorHAnsi" w:hAnsiTheme="majorHAnsi" w:cstheme="majorHAnsi"/>
                <w:color w:val="000000"/>
                <w:sz w:val="20"/>
              </w:rPr>
              <w:t xml:space="preserve">13 - Kleaf vulnerability curve RKM method.xlsx </w:t>
            </w:r>
          </w:p>
          <w:p w:rsidR="00BD1447" w:rsidRPr="00396516" w:rsidRDefault="00BD1447" w:rsidP="00BD1447">
            <w:pPr>
              <w:jc w:val="both"/>
              <w:rPr>
                <w:rFonts w:asciiTheme="majorHAnsi" w:hAnsiTheme="majorHAnsi" w:cstheme="majorHAnsi"/>
                <w:color w:val="000000"/>
              </w:rPr>
            </w:pPr>
            <w:r w:rsidRPr="00BD1447">
              <w:rPr>
                <w:rFonts w:asciiTheme="majorHAnsi" w:hAnsiTheme="majorHAnsi" w:cstheme="majorHAnsi"/>
                <w:color w:val="000000"/>
                <w:sz w:val="20"/>
              </w:rPr>
              <w:t>Read me.docx</w:t>
            </w: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rPr>
              <w:t>Grant details</w:t>
            </w:r>
          </w:p>
        </w:tc>
        <w:tc>
          <w:tcPr>
            <w:tcW w:w="7230" w:type="dxa"/>
          </w:tcPr>
          <w:p w:rsidR="00396516" w:rsidRDefault="00396516" w:rsidP="00396516">
            <w:pPr>
              <w:jc w:val="both"/>
              <w:rPr>
                <w:rFonts w:asciiTheme="majorHAnsi" w:hAnsiTheme="majorHAnsi" w:cstheme="majorHAnsi"/>
                <w:color w:val="000000"/>
              </w:rPr>
            </w:pPr>
            <w:r w:rsidRPr="00396516">
              <w:rPr>
                <w:rFonts w:asciiTheme="majorHAnsi" w:hAnsiTheme="majorHAnsi" w:cstheme="majorHAnsi"/>
                <w:color w:val="000000"/>
              </w:rPr>
              <w:t xml:space="preserve">Australian Research Council Discovery Grant DP180102969 awarded to Marilyn C. Ball., Lawren Sack and Maurizio </w:t>
            </w:r>
            <w:proofErr w:type="spellStart"/>
            <w:r w:rsidRPr="00396516">
              <w:rPr>
                <w:rFonts w:asciiTheme="majorHAnsi" w:hAnsiTheme="majorHAnsi" w:cstheme="majorHAnsi"/>
                <w:color w:val="000000"/>
              </w:rPr>
              <w:t>Mencuccini</w:t>
            </w:r>
            <w:proofErr w:type="spellEnd"/>
          </w:p>
          <w:p w:rsidR="00396516" w:rsidRPr="00396516" w:rsidRDefault="00396516" w:rsidP="00396516">
            <w:pPr>
              <w:jc w:val="both"/>
              <w:rPr>
                <w:rFonts w:asciiTheme="majorHAnsi" w:hAnsiTheme="majorHAnsi" w:cstheme="majorHAnsi"/>
              </w:rPr>
            </w:pPr>
          </w:p>
        </w:tc>
      </w:tr>
      <w:tr w:rsidR="00396516" w:rsidTr="00396516">
        <w:tc>
          <w:tcPr>
            <w:tcW w:w="1696" w:type="dxa"/>
          </w:tcPr>
          <w:p w:rsidR="00396516" w:rsidRPr="00396516" w:rsidRDefault="00396516" w:rsidP="00396516">
            <w:pPr>
              <w:rPr>
                <w:rFonts w:asciiTheme="majorHAnsi" w:hAnsiTheme="majorHAnsi" w:cstheme="majorHAnsi"/>
              </w:rPr>
            </w:pPr>
            <w:r>
              <w:rPr>
                <w:rFonts w:asciiTheme="majorHAnsi" w:hAnsiTheme="majorHAnsi" w:cstheme="majorHAnsi"/>
              </w:rPr>
              <w:t>Manuscript authors</w:t>
            </w:r>
          </w:p>
        </w:tc>
        <w:tc>
          <w:tcPr>
            <w:tcW w:w="7230" w:type="dxa"/>
          </w:tcPr>
          <w:p w:rsidR="00396516" w:rsidRPr="004E0788" w:rsidRDefault="00396516" w:rsidP="00396516">
            <w:pPr>
              <w:spacing w:line="360" w:lineRule="auto"/>
              <w:rPr>
                <w:rFonts w:asciiTheme="majorHAnsi" w:hAnsiTheme="majorHAnsi" w:cstheme="majorHAnsi"/>
              </w:rPr>
            </w:pPr>
            <w:r w:rsidRPr="004E0788">
              <w:rPr>
                <w:rFonts w:asciiTheme="majorHAnsi" w:hAnsiTheme="majorHAnsi" w:cstheme="majorHAnsi"/>
              </w:rPr>
              <w:t>Callum J. Bryant</w:t>
            </w:r>
            <w:r w:rsidRPr="004E0788">
              <w:rPr>
                <w:rFonts w:asciiTheme="majorHAnsi" w:hAnsiTheme="majorHAnsi" w:cstheme="majorHAnsi"/>
                <w:vertAlign w:val="superscript"/>
              </w:rPr>
              <w:t>1</w:t>
            </w:r>
            <w:r w:rsidRPr="004E0788">
              <w:rPr>
                <w:rFonts w:asciiTheme="majorHAnsi" w:hAnsiTheme="majorHAnsi" w:cstheme="majorHAnsi"/>
              </w:rPr>
              <w:t>, Tomas Fuenzalida</w:t>
            </w:r>
            <w:r w:rsidRPr="004E0788">
              <w:rPr>
                <w:rFonts w:asciiTheme="majorHAnsi" w:hAnsiTheme="majorHAnsi" w:cstheme="majorHAnsi"/>
                <w:vertAlign w:val="superscript"/>
              </w:rPr>
              <w:t>1</w:t>
            </w:r>
            <w:r w:rsidRPr="004E0788">
              <w:rPr>
                <w:rFonts w:asciiTheme="majorHAnsi" w:hAnsiTheme="majorHAnsi" w:cstheme="majorHAnsi"/>
              </w:rPr>
              <w:t>, Nigel Brothers</w:t>
            </w:r>
            <w:r w:rsidRPr="004E0788">
              <w:rPr>
                <w:rFonts w:asciiTheme="majorHAnsi" w:hAnsiTheme="majorHAnsi" w:cstheme="majorHAnsi"/>
                <w:vertAlign w:val="superscript"/>
              </w:rPr>
              <w:t>1</w:t>
            </w:r>
            <w:r w:rsidRPr="004E0788">
              <w:rPr>
                <w:rFonts w:asciiTheme="majorHAnsi" w:hAnsiTheme="majorHAnsi" w:cstheme="majorHAnsi"/>
              </w:rPr>
              <w:t>, Maurizio Mencuccini</w:t>
            </w:r>
            <w:r w:rsidRPr="004E0788">
              <w:rPr>
                <w:rFonts w:asciiTheme="majorHAnsi" w:hAnsiTheme="majorHAnsi" w:cstheme="majorHAnsi"/>
                <w:vertAlign w:val="superscript"/>
              </w:rPr>
              <w:t>2</w:t>
            </w:r>
            <w:r w:rsidRPr="004E0788">
              <w:rPr>
                <w:rFonts w:asciiTheme="majorHAnsi" w:hAnsiTheme="majorHAnsi" w:cstheme="majorHAnsi"/>
              </w:rPr>
              <w:t>, Lawren Sack</w:t>
            </w:r>
            <w:r w:rsidRPr="004E0788">
              <w:rPr>
                <w:rFonts w:asciiTheme="majorHAnsi" w:hAnsiTheme="majorHAnsi" w:cstheme="majorHAnsi"/>
                <w:vertAlign w:val="superscript"/>
              </w:rPr>
              <w:t>3</w:t>
            </w:r>
            <w:r w:rsidRPr="004E0788">
              <w:rPr>
                <w:rFonts w:asciiTheme="majorHAnsi" w:hAnsiTheme="majorHAnsi" w:cstheme="majorHAnsi"/>
              </w:rPr>
              <w:t>, Oliver Binks</w:t>
            </w:r>
            <w:r w:rsidRPr="004E0788">
              <w:rPr>
                <w:rFonts w:asciiTheme="majorHAnsi" w:hAnsiTheme="majorHAnsi" w:cstheme="majorHAnsi"/>
                <w:vertAlign w:val="superscript"/>
              </w:rPr>
              <w:t>1</w:t>
            </w:r>
            <w:r w:rsidRPr="004E0788">
              <w:rPr>
                <w:rFonts w:asciiTheme="majorHAnsi" w:hAnsiTheme="majorHAnsi" w:cstheme="majorHAnsi"/>
              </w:rPr>
              <w:t>,</w:t>
            </w:r>
            <w:r w:rsidRPr="004E0788">
              <w:rPr>
                <w:rFonts w:asciiTheme="majorHAnsi" w:hAnsiTheme="majorHAnsi" w:cstheme="majorHAnsi"/>
                <w:vertAlign w:val="superscript"/>
              </w:rPr>
              <w:t xml:space="preserve"> </w:t>
            </w:r>
            <w:r w:rsidRPr="004E0788">
              <w:rPr>
                <w:rFonts w:asciiTheme="majorHAnsi" w:hAnsiTheme="majorHAnsi" w:cstheme="majorHAnsi"/>
              </w:rPr>
              <w:t>Marilyn C. Ball</w:t>
            </w:r>
            <w:r w:rsidRPr="004E0788">
              <w:rPr>
                <w:rFonts w:asciiTheme="majorHAnsi" w:hAnsiTheme="majorHAnsi" w:cstheme="majorHAnsi"/>
                <w:vertAlign w:val="superscript"/>
              </w:rPr>
              <w:t>1</w:t>
            </w:r>
          </w:p>
          <w:p w:rsidR="004E0788" w:rsidRPr="004E0788" w:rsidRDefault="00396516" w:rsidP="00396516">
            <w:pPr>
              <w:jc w:val="both"/>
              <w:rPr>
                <w:rFonts w:asciiTheme="majorHAnsi" w:hAnsiTheme="majorHAnsi" w:cstheme="majorHAnsi"/>
                <w:i/>
              </w:rPr>
            </w:pPr>
            <w:r w:rsidRPr="004E0788">
              <w:rPr>
                <w:rFonts w:asciiTheme="majorHAnsi" w:hAnsiTheme="majorHAnsi" w:cstheme="majorHAnsi"/>
                <w:i/>
                <w:vertAlign w:val="superscript"/>
              </w:rPr>
              <w:t>1</w:t>
            </w:r>
            <w:r w:rsidRPr="004E0788">
              <w:rPr>
                <w:rFonts w:asciiTheme="majorHAnsi" w:hAnsiTheme="majorHAnsi" w:cstheme="majorHAnsi"/>
                <w:i/>
              </w:rPr>
              <w:t>Plant Science Division, Research School of Biology, Australian National University, Acton, ACT, 2601, Australia.</w:t>
            </w:r>
          </w:p>
          <w:p w:rsidR="004E0788" w:rsidRPr="004E0788" w:rsidRDefault="00396516" w:rsidP="00396516">
            <w:pPr>
              <w:jc w:val="both"/>
              <w:rPr>
                <w:rFonts w:asciiTheme="majorHAnsi" w:hAnsiTheme="majorHAnsi" w:cstheme="majorHAnsi"/>
                <w:i/>
              </w:rPr>
            </w:pPr>
            <w:r w:rsidRPr="004E0788">
              <w:rPr>
                <w:rFonts w:asciiTheme="majorHAnsi" w:hAnsiTheme="majorHAnsi" w:cstheme="majorHAnsi"/>
                <w:i/>
              </w:rPr>
              <w:t xml:space="preserve"> </w:t>
            </w:r>
            <w:r w:rsidRPr="004E0788">
              <w:rPr>
                <w:rFonts w:asciiTheme="majorHAnsi" w:hAnsiTheme="majorHAnsi" w:cstheme="majorHAnsi"/>
                <w:i/>
                <w:vertAlign w:val="superscript"/>
              </w:rPr>
              <w:t xml:space="preserve">2 </w:t>
            </w:r>
            <w:r w:rsidRPr="004E0788">
              <w:rPr>
                <w:rFonts w:asciiTheme="majorHAnsi" w:hAnsiTheme="majorHAnsi" w:cstheme="majorHAnsi"/>
                <w:i/>
              </w:rPr>
              <w:t>ICREA, 08010, Barcelona, Spain.</w:t>
            </w:r>
          </w:p>
          <w:p w:rsidR="00396516" w:rsidRPr="004E0788" w:rsidRDefault="00396516" w:rsidP="00396516">
            <w:pPr>
              <w:jc w:val="both"/>
              <w:rPr>
                <w:rFonts w:asciiTheme="majorHAnsi" w:eastAsia="Times New Roman" w:hAnsiTheme="majorHAnsi" w:cstheme="majorHAnsi"/>
                <w:i/>
              </w:rPr>
            </w:pPr>
            <w:r w:rsidRPr="004E0788">
              <w:rPr>
                <w:rFonts w:asciiTheme="majorHAnsi" w:hAnsiTheme="majorHAnsi" w:cstheme="majorHAnsi"/>
                <w:i/>
              </w:rPr>
              <w:t xml:space="preserve"> </w:t>
            </w:r>
            <w:r w:rsidRPr="004E0788">
              <w:rPr>
                <w:rFonts w:asciiTheme="majorHAnsi" w:eastAsia="Times New Roman" w:hAnsiTheme="majorHAnsi" w:cstheme="majorHAnsi"/>
                <w:i/>
                <w:vertAlign w:val="superscript"/>
              </w:rPr>
              <w:t>3</w:t>
            </w:r>
            <w:r w:rsidRPr="004E0788">
              <w:rPr>
                <w:rFonts w:asciiTheme="majorHAnsi" w:eastAsia="Times New Roman" w:hAnsiTheme="majorHAnsi" w:cstheme="majorHAnsi"/>
                <w:i/>
              </w:rPr>
              <w:t>Department of Ecology and Evolution, University of California Los Angeles, 621 Charles E. Young Drive South, Los Angeles, CA, 90095, USA.</w:t>
            </w:r>
          </w:p>
          <w:p w:rsidR="00396516" w:rsidRPr="00396516" w:rsidRDefault="00396516" w:rsidP="00396516">
            <w:pPr>
              <w:jc w:val="both"/>
              <w:rPr>
                <w:rFonts w:asciiTheme="majorHAnsi" w:hAnsiTheme="majorHAnsi" w:cstheme="majorHAnsi"/>
                <w:color w:val="000000"/>
              </w:rPr>
            </w:pP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rPr>
              <w:lastRenderedPageBreak/>
              <w:t>Date</w:t>
            </w:r>
          </w:p>
        </w:tc>
        <w:tc>
          <w:tcPr>
            <w:tcW w:w="7230" w:type="dxa"/>
          </w:tcPr>
          <w:p w:rsidR="00396516" w:rsidRDefault="00396516" w:rsidP="00396516">
            <w:pPr>
              <w:jc w:val="both"/>
              <w:rPr>
                <w:rFonts w:asciiTheme="majorHAnsi" w:hAnsiTheme="majorHAnsi" w:cstheme="majorHAnsi"/>
                <w:color w:val="000000"/>
              </w:rPr>
            </w:pPr>
            <w:r w:rsidRPr="00396516">
              <w:rPr>
                <w:rFonts w:asciiTheme="majorHAnsi" w:hAnsiTheme="majorHAnsi" w:cstheme="majorHAnsi"/>
                <w:color w:val="000000"/>
              </w:rPr>
              <w:t>Collected in August 2018 (early dry season) and November 2018 (Late dry season)</w:t>
            </w:r>
          </w:p>
          <w:p w:rsidR="00396516" w:rsidRPr="00396516" w:rsidRDefault="00396516" w:rsidP="00396516">
            <w:pPr>
              <w:jc w:val="both"/>
              <w:rPr>
                <w:rFonts w:asciiTheme="majorHAnsi" w:hAnsiTheme="majorHAnsi" w:cstheme="majorHAnsi"/>
              </w:rPr>
            </w:pPr>
          </w:p>
        </w:tc>
      </w:tr>
      <w:tr w:rsidR="00396516" w:rsidTr="00396516">
        <w:tc>
          <w:tcPr>
            <w:tcW w:w="1696" w:type="dxa"/>
          </w:tcPr>
          <w:p w:rsidR="00396516" w:rsidRPr="00396516" w:rsidRDefault="00396516" w:rsidP="00396516">
            <w:pPr>
              <w:rPr>
                <w:rFonts w:asciiTheme="majorHAnsi" w:hAnsiTheme="majorHAnsi" w:cstheme="majorHAnsi"/>
              </w:rPr>
            </w:pPr>
            <w:r w:rsidRPr="00396516">
              <w:rPr>
                <w:rFonts w:asciiTheme="majorHAnsi" w:hAnsiTheme="majorHAnsi" w:cstheme="majorHAnsi"/>
                <w:color w:val="000000"/>
              </w:rPr>
              <w:t xml:space="preserve">Location </w:t>
            </w:r>
          </w:p>
        </w:tc>
        <w:tc>
          <w:tcPr>
            <w:tcW w:w="7230" w:type="dxa"/>
          </w:tcPr>
          <w:p w:rsidR="00396516" w:rsidRDefault="00396516" w:rsidP="00396516">
            <w:pPr>
              <w:jc w:val="both"/>
              <w:rPr>
                <w:rFonts w:asciiTheme="majorHAnsi" w:hAnsiTheme="majorHAnsi" w:cstheme="majorHAnsi"/>
                <w:color w:val="000000"/>
              </w:rPr>
            </w:pPr>
            <w:r w:rsidRPr="00396516">
              <w:rPr>
                <w:rFonts w:asciiTheme="majorHAnsi" w:hAnsiTheme="majorHAnsi" w:cstheme="majorHAnsi"/>
                <w:color w:val="000000"/>
              </w:rPr>
              <w:t xml:space="preserve">Branches and leaves were collected from a stand of </w:t>
            </w:r>
            <w:r w:rsidRPr="00396516">
              <w:rPr>
                <w:rFonts w:asciiTheme="majorHAnsi" w:hAnsiTheme="majorHAnsi" w:cstheme="majorHAnsi"/>
                <w:i/>
                <w:iCs/>
                <w:color w:val="000000"/>
              </w:rPr>
              <w:t>Sonneratia alba</w:t>
            </w:r>
            <w:r w:rsidRPr="00396516">
              <w:rPr>
                <w:rFonts w:asciiTheme="majorHAnsi" w:hAnsiTheme="majorHAnsi" w:cstheme="majorHAnsi"/>
                <w:color w:val="000000"/>
              </w:rPr>
              <w:t xml:space="preserve"> trees growing naturally along the Daintree River, Daintree National Park, Far North Queensland (16°17'24.8"S 145°24'36.8"E). </w:t>
            </w:r>
          </w:p>
          <w:p w:rsidR="00396516" w:rsidRPr="00396516" w:rsidRDefault="00396516" w:rsidP="00396516">
            <w:pPr>
              <w:jc w:val="both"/>
              <w:rPr>
                <w:rFonts w:asciiTheme="majorHAnsi" w:hAnsiTheme="majorHAnsi" w:cstheme="majorHAnsi"/>
              </w:rPr>
            </w:pPr>
          </w:p>
        </w:tc>
      </w:tr>
      <w:tr w:rsidR="00396516" w:rsidTr="00396516">
        <w:tc>
          <w:tcPr>
            <w:tcW w:w="1696" w:type="dxa"/>
          </w:tcPr>
          <w:p w:rsidR="00396516" w:rsidRPr="00396516" w:rsidRDefault="00396516" w:rsidP="00396516">
            <w:pPr>
              <w:rPr>
                <w:rFonts w:asciiTheme="majorHAnsi" w:hAnsiTheme="majorHAnsi" w:cstheme="majorHAnsi"/>
              </w:rPr>
            </w:pPr>
            <w:r>
              <w:rPr>
                <w:rFonts w:asciiTheme="majorHAnsi" w:hAnsiTheme="majorHAnsi" w:cstheme="majorHAnsi"/>
              </w:rPr>
              <w:t>Methods</w:t>
            </w:r>
          </w:p>
        </w:tc>
        <w:tc>
          <w:tcPr>
            <w:tcW w:w="7230" w:type="dxa"/>
          </w:tcPr>
          <w:p w:rsidR="00396516" w:rsidRPr="00A853C3" w:rsidRDefault="00A853C3" w:rsidP="00A853C3">
            <w:pPr>
              <w:spacing w:line="480" w:lineRule="auto"/>
              <w:rPr>
                <w:rFonts w:asciiTheme="majorHAnsi" w:hAnsiTheme="majorHAnsi" w:cstheme="majorHAnsi"/>
              </w:rPr>
            </w:pPr>
            <w:r>
              <w:rPr>
                <w:rFonts w:asciiTheme="majorHAnsi" w:hAnsiTheme="majorHAnsi" w:cstheme="majorHAnsi"/>
              </w:rPr>
              <w:t>See</w:t>
            </w:r>
            <w:r>
              <w:t xml:space="preserve"> publication:</w:t>
            </w:r>
            <w:r>
              <w:br/>
            </w:r>
            <w:r w:rsidRPr="00A853C3">
              <w:rPr>
                <w:rFonts w:asciiTheme="majorHAnsi" w:hAnsiTheme="majorHAnsi" w:cstheme="majorHAnsi"/>
              </w:rPr>
              <w:t xml:space="preserve">Bryant C, </w:t>
            </w:r>
            <w:proofErr w:type="spellStart"/>
            <w:r w:rsidRPr="00A853C3">
              <w:rPr>
                <w:rFonts w:asciiTheme="majorHAnsi" w:hAnsiTheme="majorHAnsi" w:cstheme="majorHAnsi"/>
              </w:rPr>
              <w:t>Fuenzalida</w:t>
            </w:r>
            <w:proofErr w:type="spellEnd"/>
            <w:r w:rsidRPr="00A853C3">
              <w:rPr>
                <w:rFonts w:asciiTheme="majorHAnsi" w:hAnsiTheme="majorHAnsi" w:cstheme="majorHAnsi"/>
              </w:rPr>
              <w:t xml:space="preserve"> TF, Brothers N, </w:t>
            </w:r>
            <w:proofErr w:type="spellStart"/>
            <w:r w:rsidRPr="00A853C3">
              <w:rPr>
                <w:rFonts w:asciiTheme="majorHAnsi" w:hAnsiTheme="majorHAnsi" w:cstheme="majorHAnsi"/>
              </w:rPr>
              <w:t>Mencuccini</w:t>
            </w:r>
            <w:proofErr w:type="spellEnd"/>
            <w:r w:rsidRPr="00A853C3">
              <w:rPr>
                <w:rFonts w:asciiTheme="majorHAnsi" w:hAnsiTheme="majorHAnsi" w:cstheme="majorHAnsi"/>
              </w:rPr>
              <w:t xml:space="preserve"> M, Sack L, </w:t>
            </w:r>
            <w:proofErr w:type="spellStart"/>
            <w:r w:rsidRPr="00A853C3">
              <w:rPr>
                <w:rFonts w:asciiTheme="majorHAnsi" w:hAnsiTheme="majorHAnsi" w:cstheme="majorHAnsi"/>
              </w:rPr>
              <w:t>Binks</w:t>
            </w:r>
            <w:proofErr w:type="spellEnd"/>
            <w:r w:rsidRPr="00A853C3">
              <w:rPr>
                <w:rFonts w:asciiTheme="majorHAnsi" w:hAnsiTheme="majorHAnsi" w:cstheme="majorHAnsi"/>
              </w:rPr>
              <w:t xml:space="preserve"> O, Ball MC, 2021</w:t>
            </w:r>
            <w:r>
              <w:rPr>
                <w:rFonts w:asciiTheme="majorHAnsi" w:hAnsiTheme="majorHAnsi" w:cstheme="majorHAnsi"/>
              </w:rPr>
              <w:t>.</w:t>
            </w:r>
            <w:bookmarkStart w:id="0" w:name="_GoBack"/>
            <w:bookmarkEnd w:id="0"/>
            <w:r w:rsidRPr="00A853C3">
              <w:rPr>
                <w:rFonts w:asciiTheme="majorHAnsi" w:hAnsiTheme="majorHAnsi" w:cstheme="majorHAnsi"/>
              </w:rPr>
              <w:t xml:space="preserve"> Shifting access to pools of shoot water sustains gas exchange and increases stem hydraulic safety during seasonal atmospheric drought. Plant, Cell &amp; Environment.</w:t>
            </w:r>
            <w:r>
              <w:rPr>
                <w:rFonts w:asciiTheme="majorHAnsi" w:hAnsiTheme="majorHAnsi" w:cstheme="majorHAnsi"/>
              </w:rPr>
              <w:t xml:space="preserve"> </w:t>
            </w:r>
            <w:r>
              <w:rPr>
                <w:rFonts w:asciiTheme="majorHAnsi" w:hAnsiTheme="majorHAnsi" w:cstheme="majorHAnsi"/>
              </w:rPr>
              <w:br/>
            </w:r>
          </w:p>
        </w:tc>
      </w:tr>
    </w:tbl>
    <w:p w:rsidR="005D763A" w:rsidRPr="00396516" w:rsidRDefault="00A853C3" w:rsidP="00396516"/>
    <w:sectPr w:rsidR="005D763A" w:rsidRPr="00396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F0"/>
    <w:rsid w:val="00396516"/>
    <w:rsid w:val="004E0788"/>
    <w:rsid w:val="007A3F76"/>
    <w:rsid w:val="00994081"/>
    <w:rsid w:val="00A853C3"/>
    <w:rsid w:val="00B42175"/>
    <w:rsid w:val="00BD1447"/>
    <w:rsid w:val="00C7712E"/>
    <w:rsid w:val="00D37926"/>
    <w:rsid w:val="00F63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1175"/>
  <w15:chartTrackingRefBased/>
  <w15:docId w15:val="{FA46A5C1-40B9-4656-A628-119FB622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3108">
      <w:bodyDiv w:val="1"/>
      <w:marLeft w:val="0"/>
      <w:marRight w:val="0"/>
      <w:marTop w:val="0"/>
      <w:marBottom w:val="0"/>
      <w:divBdr>
        <w:top w:val="none" w:sz="0" w:space="0" w:color="auto"/>
        <w:left w:val="none" w:sz="0" w:space="0" w:color="auto"/>
        <w:bottom w:val="none" w:sz="0" w:space="0" w:color="auto"/>
        <w:right w:val="none" w:sz="0" w:space="0" w:color="auto"/>
      </w:divBdr>
    </w:div>
    <w:div w:id="548348917">
      <w:bodyDiv w:val="1"/>
      <w:marLeft w:val="0"/>
      <w:marRight w:val="0"/>
      <w:marTop w:val="0"/>
      <w:marBottom w:val="0"/>
      <w:divBdr>
        <w:top w:val="none" w:sz="0" w:space="0" w:color="auto"/>
        <w:left w:val="none" w:sz="0" w:space="0" w:color="auto"/>
        <w:bottom w:val="none" w:sz="0" w:space="0" w:color="auto"/>
        <w:right w:val="none" w:sz="0" w:space="0" w:color="auto"/>
      </w:divBdr>
    </w:div>
    <w:div w:id="565995137">
      <w:bodyDiv w:val="1"/>
      <w:marLeft w:val="0"/>
      <w:marRight w:val="0"/>
      <w:marTop w:val="0"/>
      <w:marBottom w:val="0"/>
      <w:divBdr>
        <w:top w:val="none" w:sz="0" w:space="0" w:color="auto"/>
        <w:left w:val="none" w:sz="0" w:space="0" w:color="auto"/>
        <w:bottom w:val="none" w:sz="0" w:space="0" w:color="auto"/>
        <w:right w:val="none" w:sz="0" w:space="0" w:color="auto"/>
      </w:divBdr>
    </w:div>
    <w:div w:id="936524618">
      <w:bodyDiv w:val="1"/>
      <w:marLeft w:val="0"/>
      <w:marRight w:val="0"/>
      <w:marTop w:val="0"/>
      <w:marBottom w:val="0"/>
      <w:divBdr>
        <w:top w:val="none" w:sz="0" w:space="0" w:color="auto"/>
        <w:left w:val="none" w:sz="0" w:space="0" w:color="auto"/>
        <w:bottom w:val="none" w:sz="0" w:space="0" w:color="auto"/>
        <w:right w:val="none" w:sz="0" w:space="0" w:color="auto"/>
      </w:divBdr>
    </w:div>
    <w:div w:id="1227959052">
      <w:bodyDiv w:val="1"/>
      <w:marLeft w:val="0"/>
      <w:marRight w:val="0"/>
      <w:marTop w:val="0"/>
      <w:marBottom w:val="0"/>
      <w:divBdr>
        <w:top w:val="none" w:sz="0" w:space="0" w:color="auto"/>
        <w:left w:val="none" w:sz="0" w:space="0" w:color="auto"/>
        <w:bottom w:val="none" w:sz="0" w:space="0" w:color="auto"/>
        <w:right w:val="none" w:sz="0" w:space="0" w:color="auto"/>
      </w:divBdr>
    </w:div>
    <w:div w:id="15372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Cal Bryant</cp:lastModifiedBy>
  <cp:revision>4</cp:revision>
  <dcterms:created xsi:type="dcterms:W3CDTF">2019-12-10T00:06:00Z</dcterms:created>
  <dcterms:modified xsi:type="dcterms:W3CDTF">2021-04-29T19:09:00Z</dcterms:modified>
</cp:coreProperties>
</file>