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3AAB3" w14:textId="4E687471" w:rsidR="00573B78" w:rsidRPr="000D2EFD" w:rsidRDefault="000D2EFD" w:rsidP="00573B78">
      <w:r w:rsidRPr="000D2EFD">
        <w:rPr>
          <w:b/>
          <w:bCs/>
          <w:sz w:val="28"/>
          <w:szCs w:val="28"/>
        </w:rPr>
        <w:t>Data authorship:</w:t>
      </w:r>
      <w:r w:rsidRPr="000D2EFD">
        <w:rPr>
          <w:b/>
          <w:bCs/>
          <w:sz w:val="28"/>
          <w:szCs w:val="28"/>
        </w:rPr>
        <w:br/>
      </w:r>
      <w:r w:rsidRPr="000D2EFD">
        <w:t>Manuel Sevenello, Victoria A. Reynolds, and Margaret M. Mayfield</w:t>
      </w:r>
    </w:p>
    <w:p w14:paraId="71F06BFC" w14:textId="033127C3" w:rsidR="00573B78" w:rsidRPr="000D2EFD" w:rsidRDefault="00573B78" w:rsidP="00573B78">
      <w:pPr>
        <w:tabs>
          <w:tab w:val="left" w:pos="2988"/>
        </w:tabs>
        <w:rPr>
          <w:b/>
          <w:bCs/>
          <w:sz w:val="28"/>
          <w:szCs w:val="28"/>
        </w:rPr>
      </w:pPr>
      <w:r w:rsidRPr="000D2EFD">
        <w:rPr>
          <w:b/>
          <w:bCs/>
          <w:sz w:val="28"/>
          <w:szCs w:val="28"/>
        </w:rPr>
        <w:t>Dataset description</w:t>
      </w:r>
      <w:r w:rsidRPr="000D2EFD">
        <w:rPr>
          <w:b/>
          <w:bCs/>
          <w:sz w:val="28"/>
          <w:szCs w:val="28"/>
        </w:rPr>
        <w:tab/>
      </w:r>
    </w:p>
    <w:p w14:paraId="6CF03F51" w14:textId="77777777" w:rsidR="00573B78" w:rsidRDefault="00573B78" w:rsidP="000D2EFD">
      <w:pPr>
        <w:jc w:val="both"/>
      </w:pPr>
      <w:r>
        <w:t>This dataset contains unpublished data generated from studies investigating pollen carried by pollinators and pollinator visitation to flowering plants in agricultural landscapes.</w:t>
      </w:r>
    </w:p>
    <w:p w14:paraId="1991616D" w14:textId="77777777" w:rsidR="000D2EFD" w:rsidRDefault="00573B78" w:rsidP="000D2EFD">
      <w:pPr>
        <w:jc w:val="both"/>
      </w:pPr>
      <w:r>
        <w:t>The dataset combines two previously unpublished datasets that were merged and subsequently cleaned and standardised for analysis:</w:t>
      </w:r>
    </w:p>
    <w:p w14:paraId="396D0E81" w14:textId="0B272364" w:rsidR="00573B78" w:rsidRDefault="00573B78" w:rsidP="000D2EFD">
      <w:pPr>
        <w:pStyle w:val="ListParagraph"/>
        <w:numPr>
          <w:ilvl w:val="0"/>
          <w:numId w:val="4"/>
        </w:numPr>
        <w:jc w:val="both"/>
      </w:pPr>
      <w:r>
        <w:t>Plant taxa present in pollen carried by captured pollinators were identified using DNA metabarcoding of the ITS2 region. The resulting sequences were assigned to the lowest confident taxonomic level supported by the data. The original metabarcoding results were subsequently cleaned and summarised into a plant–pollinator matrix.</w:t>
      </w:r>
    </w:p>
    <w:p w14:paraId="65155E1D" w14:textId="77777777" w:rsidR="00573B78" w:rsidRDefault="00573B78" w:rsidP="000D2EFD">
      <w:pPr>
        <w:pStyle w:val="ListParagraph"/>
        <w:jc w:val="both"/>
      </w:pPr>
    </w:p>
    <w:p w14:paraId="27D23E43" w14:textId="3064C074" w:rsidR="00573B78" w:rsidRDefault="00573B78" w:rsidP="000D2EFD">
      <w:pPr>
        <w:pStyle w:val="ListParagraph"/>
        <w:jc w:val="both"/>
      </w:pPr>
      <w:r>
        <w:t xml:space="preserve">Each column representing a plant species corresponds to a </w:t>
      </w:r>
      <w:proofErr w:type="spellStart"/>
      <w:r>
        <w:t>taxon</w:t>
      </w:r>
      <w:proofErr w:type="spellEnd"/>
      <w:r>
        <w:t xml:space="preserve"> detected through DNA metabarcoding. An “X” indicates that DNA from that plant species was detected in the pollen carried by the corresponding pollinator. Thus, an X provides evidence that the insect was carrying pollen from that plant species when it was collected. For these records, the corresponding pollinator trait was assigned as “</w:t>
      </w:r>
      <w:proofErr w:type="spellStart"/>
      <w:r>
        <w:t>pollination_vector_possible</w:t>
      </w:r>
      <w:proofErr w:type="spellEnd"/>
      <w:r>
        <w:t>”, indicating that the insect was identified as a potential pollination vector based on the detection of plant pollen in its pollen load.</w:t>
      </w:r>
    </w:p>
    <w:p w14:paraId="229BC3E9" w14:textId="77777777" w:rsidR="00573B78" w:rsidRDefault="00573B78" w:rsidP="000D2EFD">
      <w:pPr>
        <w:pStyle w:val="ListParagraph"/>
        <w:jc w:val="both"/>
      </w:pPr>
    </w:p>
    <w:p w14:paraId="523EB848" w14:textId="77777777" w:rsidR="000D2EFD" w:rsidRDefault="00573B78" w:rsidP="000D2EFD">
      <w:pPr>
        <w:pStyle w:val="ListParagraph"/>
        <w:jc w:val="both"/>
      </w:pPr>
      <w:r>
        <w:t xml:space="preserve">The original metabarcoding records were also compressed and aggregated by insect taxonomic group. For example, plant DNA detections and/or observations associated with </w:t>
      </w:r>
      <w:r w:rsidRPr="00036573">
        <w:rPr>
          <w:i/>
          <w:iCs/>
        </w:rPr>
        <w:t>Apis mellifera</w:t>
      </w:r>
      <w:r>
        <w:t xml:space="preserve"> were summarised into a single row rather than retaining separate records for individual observations or samples. Therefore, this file represents a summarised version of the original metabarcoding data rather than the raw sequencing output.</w:t>
      </w:r>
    </w:p>
    <w:p w14:paraId="21DA6BBA" w14:textId="77777777" w:rsidR="000D2EFD" w:rsidRDefault="000D2EFD" w:rsidP="000D2EFD">
      <w:pPr>
        <w:pStyle w:val="ListParagraph"/>
        <w:jc w:val="both"/>
      </w:pPr>
    </w:p>
    <w:p w14:paraId="608904FD" w14:textId="561F4D93" w:rsidR="00573B78" w:rsidRDefault="00573B78" w:rsidP="000D2EFD">
      <w:pPr>
        <w:pStyle w:val="ListParagraph"/>
      </w:pPr>
      <w:r>
        <w:t xml:space="preserve">The methods used to collect the pollinators and obtain the pollen samples are described in: </w:t>
      </w:r>
      <w:r w:rsidR="00400795" w:rsidRPr="00400795">
        <w:t>Reynolds, V. A., Cunningham, S. A., Rader, R., &amp; Mayfield, M. M. (2022). Adjacent crop type impacts potential pollinator communities and their pollination services in remnants of natural vegetation. Diversity and Distributions, 28, 1269–1281. https://doi.org/10.1111/ddi.13537</w:t>
      </w:r>
    </w:p>
    <w:p w14:paraId="12B8FBA0" w14:textId="77777777" w:rsidR="00573B78" w:rsidRDefault="00573B78" w:rsidP="000D2EFD">
      <w:pPr>
        <w:jc w:val="both"/>
      </w:pPr>
    </w:p>
    <w:p w14:paraId="343A42E9" w14:textId="38DB2E35" w:rsidR="000D2EFD" w:rsidRPr="000D2EFD" w:rsidRDefault="000D2EFD" w:rsidP="000D2EFD">
      <w:pPr>
        <w:pStyle w:val="ListParagraph"/>
        <w:numPr>
          <w:ilvl w:val="0"/>
          <w:numId w:val="4"/>
        </w:numPr>
      </w:pPr>
      <w:r w:rsidRPr="000D2EFD">
        <w:t xml:space="preserve">The second component of the dataset consists of a compressed version of a separate unpublished dataset of pollinator observations. The original dataset </w:t>
      </w:r>
      <w:r w:rsidRPr="000D2EFD">
        <w:lastRenderedPageBreak/>
        <w:t>contains observations of insects visiting flowers at the study sites. Information on the study sites</w:t>
      </w:r>
      <w:r w:rsidR="00FE7B81">
        <w:t xml:space="preserve"> can be found</w:t>
      </w:r>
      <w:r w:rsidRPr="000D2EFD">
        <w:t xml:space="preserve"> in</w:t>
      </w:r>
      <w:r>
        <w:t xml:space="preserve">: </w:t>
      </w:r>
      <w:r w:rsidRPr="000D2EFD">
        <w:t xml:space="preserve">Sevenello, M., Walker, Z.C. &amp; Mayfield, M.M. Landscape fragmentation and agricultural context impact pollination services to native annual plants in critically endangered Australian woodlands. </w:t>
      </w:r>
      <w:proofErr w:type="spellStart"/>
      <w:r w:rsidRPr="000D2EFD">
        <w:t>Landsc</w:t>
      </w:r>
      <w:proofErr w:type="spellEnd"/>
      <w:r w:rsidRPr="000D2EFD">
        <w:t xml:space="preserve"> </w:t>
      </w:r>
      <w:proofErr w:type="spellStart"/>
      <w:r w:rsidRPr="000D2EFD">
        <w:t>Ecol</w:t>
      </w:r>
      <w:proofErr w:type="spellEnd"/>
      <w:r w:rsidRPr="000D2EFD">
        <w:t xml:space="preserve"> 41, 45 (2026). https://doi.org/10.1007/s10980-026-02305-2</w:t>
      </w:r>
    </w:p>
    <w:p w14:paraId="521E0E58" w14:textId="77777777" w:rsidR="000D2EFD" w:rsidRPr="000D2EFD" w:rsidRDefault="000D2EFD" w:rsidP="000D2EFD">
      <w:pPr>
        <w:pStyle w:val="ListParagraph"/>
        <w:jc w:val="both"/>
      </w:pPr>
    </w:p>
    <w:p w14:paraId="6826E0B1" w14:textId="4104A3B6" w:rsidR="000D2EFD" w:rsidRPr="000D2EFD" w:rsidRDefault="00826B4D" w:rsidP="000D2EFD">
      <w:pPr>
        <w:pStyle w:val="ListParagraph"/>
        <w:jc w:val="both"/>
      </w:pPr>
      <w:r w:rsidRPr="00826B4D">
        <w:t>Because the original study was not specifically designed to quantify plant-pollinator interactions, its methodology did not include standardized observations of pollination events. The primary objective was</w:t>
      </w:r>
      <w:r w:rsidR="00827EF2">
        <w:t xml:space="preserve"> to</w:t>
      </w:r>
      <w:r w:rsidRPr="00826B4D">
        <w:t xml:space="preserve"> </w:t>
      </w:r>
      <w:r w:rsidR="001479FD">
        <w:t xml:space="preserve">investigate </w:t>
      </w:r>
      <w:r>
        <w:t xml:space="preserve">the </w:t>
      </w:r>
      <w:r w:rsidR="001479FD">
        <w:t>effect</w:t>
      </w:r>
      <w:r>
        <w:t xml:space="preserve"> of </w:t>
      </w:r>
      <w:r w:rsidR="001479FD">
        <w:t xml:space="preserve">different </w:t>
      </w:r>
      <w:r>
        <w:t xml:space="preserve">landscape component on plant </w:t>
      </w:r>
      <w:r w:rsidR="001479FD">
        <w:t xml:space="preserve">reproduction and </w:t>
      </w:r>
      <w:r>
        <w:t>pollen provision</w:t>
      </w:r>
      <w:r w:rsidR="004C1AFF">
        <w:t xml:space="preserve"> (pollen limitation)</w:t>
      </w:r>
      <w:r w:rsidRPr="00826B4D">
        <w:t>. Nevertheless, floral visitors were recorded opportunistically whenever encountered, providing information on potential pollinators of the study species.</w:t>
      </w:r>
      <w:r>
        <w:t xml:space="preserve"> </w:t>
      </w:r>
      <w:r w:rsidR="000D2EFD" w:rsidRPr="000D2EFD">
        <w:t xml:space="preserve">Insects recorded visiting flowers were assigned the pollinator category </w:t>
      </w:r>
      <w:r w:rsidR="00DD30D3">
        <w:t>“</w:t>
      </w:r>
      <w:proofErr w:type="spellStart"/>
      <w:r w:rsidR="000D2EFD" w:rsidRPr="000D2EFD">
        <w:t>flower_visitor</w:t>
      </w:r>
      <w:proofErr w:type="spellEnd"/>
      <w:r w:rsidR="00DD30D3">
        <w:t>”</w:t>
      </w:r>
      <w:r w:rsidR="000D2EFD" w:rsidRPr="000D2EFD">
        <w:t xml:space="preserve">. </w:t>
      </w:r>
    </w:p>
    <w:p w14:paraId="08643CF4" w14:textId="31E2ADFB" w:rsidR="007001E1" w:rsidRPr="007001E1" w:rsidRDefault="007001E1" w:rsidP="007001E1">
      <w:pPr>
        <w:rPr>
          <w:b/>
          <w:bCs/>
          <w:sz w:val="28"/>
          <w:szCs w:val="28"/>
        </w:rPr>
      </w:pPr>
      <w:r>
        <w:rPr>
          <w:b/>
          <w:bCs/>
        </w:rPr>
        <w:br/>
      </w:r>
      <w:r w:rsidRPr="007001E1">
        <w:rPr>
          <w:b/>
          <w:bCs/>
          <w:sz w:val="28"/>
          <w:szCs w:val="28"/>
        </w:rPr>
        <w:t>Dataset structure</w:t>
      </w:r>
    </w:p>
    <w:p w14:paraId="088312E4" w14:textId="4BECB813" w:rsidR="007001E1" w:rsidRPr="007001E1" w:rsidRDefault="007001E1" w:rsidP="007001E1">
      <w:r w:rsidRPr="007001E1">
        <w:t>The final dataset is organised as a plant–pollinator interaction matrix, with each row representing a</w:t>
      </w:r>
      <w:r w:rsidR="00472E53">
        <w:t>n</w:t>
      </w:r>
      <w:r w:rsidRPr="007001E1">
        <w:t xml:space="preserve"> </w:t>
      </w:r>
      <w:r w:rsidR="00472E53">
        <w:t>insect</w:t>
      </w:r>
      <w:r w:rsidRPr="007001E1">
        <w:t xml:space="preserve"> taxon and sampling unit, and plant species represented as separate columns.</w:t>
      </w: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1317"/>
        <w:gridCol w:w="7789"/>
      </w:tblGrid>
      <w:tr w:rsidR="007001E1" w:rsidRPr="007001E1" w14:paraId="101593B1" w14:textId="77777777" w:rsidTr="00A634AA">
        <w:trPr>
          <w:tblHeader/>
          <w:tblCellSpacing w:w="15" w:type="dxa"/>
        </w:trPr>
        <w:tc>
          <w:tcPr>
            <w:tcW w:w="1272" w:type="dxa"/>
            <w:vAlign w:val="center"/>
            <w:hideMark/>
          </w:tcPr>
          <w:p w14:paraId="27787BC9" w14:textId="77777777" w:rsidR="007001E1" w:rsidRPr="007001E1" w:rsidRDefault="007001E1" w:rsidP="007001E1">
            <w:pPr>
              <w:rPr>
                <w:b/>
                <w:bCs/>
              </w:rPr>
            </w:pPr>
            <w:r w:rsidRPr="007001E1">
              <w:rPr>
                <w:b/>
                <w:bCs/>
              </w:rPr>
              <w:t>Column</w:t>
            </w:r>
          </w:p>
        </w:tc>
        <w:tc>
          <w:tcPr>
            <w:tcW w:w="0" w:type="auto"/>
            <w:vAlign w:val="center"/>
            <w:hideMark/>
          </w:tcPr>
          <w:p w14:paraId="5431A862" w14:textId="77777777" w:rsidR="007001E1" w:rsidRPr="007001E1" w:rsidRDefault="007001E1" w:rsidP="007001E1">
            <w:pPr>
              <w:rPr>
                <w:b/>
                <w:bCs/>
              </w:rPr>
            </w:pPr>
            <w:r w:rsidRPr="007001E1">
              <w:rPr>
                <w:b/>
                <w:bCs/>
              </w:rPr>
              <w:t>Description</w:t>
            </w:r>
          </w:p>
        </w:tc>
      </w:tr>
      <w:tr w:rsidR="007001E1" w:rsidRPr="007001E1" w14:paraId="0F4DC0E5" w14:textId="77777777" w:rsidTr="00A634AA">
        <w:trPr>
          <w:tblCellSpacing w:w="15" w:type="dxa"/>
        </w:trPr>
        <w:tc>
          <w:tcPr>
            <w:tcW w:w="1272" w:type="dxa"/>
            <w:vAlign w:val="center"/>
            <w:hideMark/>
          </w:tcPr>
          <w:p w14:paraId="26CFA9D8" w14:textId="77777777" w:rsidR="007001E1" w:rsidRPr="007001E1" w:rsidRDefault="007001E1" w:rsidP="007001E1">
            <w:r w:rsidRPr="007001E1">
              <w:rPr>
                <w:b/>
                <w:bCs/>
              </w:rPr>
              <w:t>Taxa</w:t>
            </w:r>
          </w:p>
        </w:tc>
        <w:tc>
          <w:tcPr>
            <w:tcW w:w="0" w:type="auto"/>
            <w:vAlign w:val="center"/>
            <w:hideMark/>
          </w:tcPr>
          <w:p w14:paraId="07B39452" w14:textId="497674D1" w:rsidR="007001E1" w:rsidRPr="007001E1" w:rsidRDefault="007001E1" w:rsidP="007001E1">
            <w:r w:rsidRPr="007001E1">
              <w:t xml:space="preserve">Taxonomic group of the </w:t>
            </w:r>
            <w:r w:rsidR="00472E53">
              <w:t>insect</w:t>
            </w:r>
            <w:r w:rsidRPr="007001E1">
              <w:t>.</w:t>
            </w:r>
          </w:p>
        </w:tc>
      </w:tr>
      <w:tr w:rsidR="007001E1" w:rsidRPr="007001E1" w14:paraId="4C3D90EA" w14:textId="77777777" w:rsidTr="00A634AA">
        <w:trPr>
          <w:tblCellSpacing w:w="15" w:type="dxa"/>
        </w:trPr>
        <w:tc>
          <w:tcPr>
            <w:tcW w:w="1272" w:type="dxa"/>
            <w:vAlign w:val="center"/>
            <w:hideMark/>
          </w:tcPr>
          <w:p w14:paraId="34EDC006" w14:textId="77777777" w:rsidR="007001E1" w:rsidRPr="007001E1" w:rsidRDefault="007001E1" w:rsidP="007001E1">
            <w:r w:rsidRPr="007001E1">
              <w:rPr>
                <w:b/>
                <w:bCs/>
              </w:rPr>
              <w:t>Family</w:t>
            </w:r>
          </w:p>
        </w:tc>
        <w:tc>
          <w:tcPr>
            <w:tcW w:w="0" w:type="auto"/>
            <w:vAlign w:val="center"/>
            <w:hideMark/>
          </w:tcPr>
          <w:p w14:paraId="1FEC6DD0" w14:textId="1E948D2C" w:rsidR="007001E1" w:rsidRPr="007001E1" w:rsidRDefault="007001E1" w:rsidP="007001E1">
            <w:r w:rsidRPr="007001E1">
              <w:t xml:space="preserve">Family of the </w:t>
            </w:r>
            <w:r w:rsidR="00472E53">
              <w:t>insect.</w:t>
            </w:r>
          </w:p>
        </w:tc>
      </w:tr>
      <w:tr w:rsidR="007001E1" w:rsidRPr="007001E1" w14:paraId="085E6731" w14:textId="77777777" w:rsidTr="00A634AA">
        <w:trPr>
          <w:tblCellSpacing w:w="15" w:type="dxa"/>
        </w:trPr>
        <w:tc>
          <w:tcPr>
            <w:tcW w:w="1272" w:type="dxa"/>
            <w:vAlign w:val="center"/>
            <w:hideMark/>
          </w:tcPr>
          <w:p w14:paraId="70ED3E5E" w14:textId="77777777" w:rsidR="007001E1" w:rsidRPr="007001E1" w:rsidRDefault="007001E1" w:rsidP="007001E1">
            <w:r w:rsidRPr="007001E1">
              <w:rPr>
                <w:b/>
                <w:bCs/>
              </w:rPr>
              <w:t>Species</w:t>
            </w:r>
          </w:p>
        </w:tc>
        <w:tc>
          <w:tcPr>
            <w:tcW w:w="0" w:type="auto"/>
            <w:vAlign w:val="center"/>
            <w:hideMark/>
          </w:tcPr>
          <w:p w14:paraId="587E826D" w14:textId="60F5A47B" w:rsidR="007001E1" w:rsidRPr="007001E1" w:rsidRDefault="007001E1" w:rsidP="007001E1">
            <w:r w:rsidRPr="007001E1">
              <w:t xml:space="preserve">Species-level identification of the </w:t>
            </w:r>
            <w:r w:rsidR="00472E53">
              <w:t>insect</w:t>
            </w:r>
            <w:r w:rsidRPr="007001E1">
              <w:t>, where available.</w:t>
            </w:r>
          </w:p>
        </w:tc>
      </w:tr>
      <w:tr w:rsidR="007001E1" w:rsidRPr="007001E1" w14:paraId="06C364B5" w14:textId="77777777" w:rsidTr="00A634AA">
        <w:trPr>
          <w:tblCellSpacing w:w="15" w:type="dxa"/>
        </w:trPr>
        <w:tc>
          <w:tcPr>
            <w:tcW w:w="1272" w:type="dxa"/>
            <w:vAlign w:val="center"/>
            <w:hideMark/>
          </w:tcPr>
          <w:p w14:paraId="28A9833E" w14:textId="77777777" w:rsidR="007001E1" w:rsidRPr="007001E1" w:rsidRDefault="007001E1" w:rsidP="007001E1">
            <w:r w:rsidRPr="007001E1">
              <w:rPr>
                <w:b/>
                <w:bCs/>
              </w:rPr>
              <w:t>Pollinator trait</w:t>
            </w:r>
          </w:p>
        </w:tc>
        <w:tc>
          <w:tcPr>
            <w:tcW w:w="0" w:type="auto"/>
            <w:vAlign w:val="center"/>
            <w:hideMark/>
          </w:tcPr>
          <w:p w14:paraId="0A1C9D18" w14:textId="1AC460BC" w:rsidR="007001E1" w:rsidRPr="007001E1" w:rsidRDefault="007001E1" w:rsidP="007001E1">
            <w:r w:rsidRPr="007001E1">
              <w:t xml:space="preserve">Category </w:t>
            </w:r>
            <w:r w:rsidR="005D0F9E">
              <w:t xml:space="preserve">proposed by </w:t>
            </w:r>
            <w:proofErr w:type="spellStart"/>
            <w:r w:rsidR="005D0F9E">
              <w:t>AusTrait</w:t>
            </w:r>
            <w:proofErr w:type="spellEnd"/>
            <w:r w:rsidR="005D0F9E">
              <w:t xml:space="preserve"> pollination</w:t>
            </w:r>
          </w:p>
        </w:tc>
      </w:tr>
      <w:tr w:rsidR="007001E1" w:rsidRPr="007001E1" w14:paraId="4D77CF8D" w14:textId="77777777" w:rsidTr="00A634AA">
        <w:trPr>
          <w:tblCellSpacing w:w="15" w:type="dxa"/>
        </w:trPr>
        <w:tc>
          <w:tcPr>
            <w:tcW w:w="1272" w:type="dxa"/>
            <w:vAlign w:val="center"/>
            <w:hideMark/>
          </w:tcPr>
          <w:p w14:paraId="10FB3612" w14:textId="3650FB78" w:rsidR="007001E1" w:rsidRPr="007001E1" w:rsidRDefault="007001E1" w:rsidP="007001E1">
            <w:r w:rsidRPr="007001E1">
              <w:rPr>
                <w:b/>
                <w:bCs/>
              </w:rPr>
              <w:t>Sample</w:t>
            </w:r>
            <w:r w:rsidR="00A634AA">
              <w:rPr>
                <w:b/>
                <w:bCs/>
              </w:rPr>
              <w:t xml:space="preserve"> size</w:t>
            </w:r>
          </w:p>
        </w:tc>
        <w:tc>
          <w:tcPr>
            <w:tcW w:w="0" w:type="auto"/>
            <w:vAlign w:val="center"/>
            <w:hideMark/>
          </w:tcPr>
          <w:p w14:paraId="1055FA81" w14:textId="77777777" w:rsidR="007001E1" w:rsidRPr="007001E1" w:rsidRDefault="007001E1" w:rsidP="007001E1">
            <w:r w:rsidRPr="007001E1">
              <w:t>Number of individual pollinator specimens represented by the record. For DNA metabarcoding records, this corresponds to the number of specimens collected for pollen removal and subsequent DNA metabarcoding. For observational records, it represents the number of observed individuals contributing to the summarised record.</w:t>
            </w:r>
          </w:p>
        </w:tc>
      </w:tr>
      <w:tr w:rsidR="007001E1" w:rsidRPr="007001E1" w14:paraId="2AE05A1A" w14:textId="77777777" w:rsidTr="00A634AA">
        <w:trPr>
          <w:tblCellSpacing w:w="15" w:type="dxa"/>
        </w:trPr>
        <w:tc>
          <w:tcPr>
            <w:tcW w:w="1272" w:type="dxa"/>
            <w:vAlign w:val="center"/>
            <w:hideMark/>
          </w:tcPr>
          <w:p w14:paraId="08621FE7" w14:textId="7ABFCA8F" w:rsidR="007001E1" w:rsidRPr="007001E1" w:rsidRDefault="007001E1" w:rsidP="007001E1">
            <w:r w:rsidRPr="007001E1">
              <w:rPr>
                <w:b/>
                <w:bCs/>
              </w:rPr>
              <w:t xml:space="preserve">Plant species </w:t>
            </w:r>
          </w:p>
        </w:tc>
        <w:tc>
          <w:tcPr>
            <w:tcW w:w="0" w:type="auto"/>
            <w:vAlign w:val="center"/>
            <w:hideMark/>
          </w:tcPr>
          <w:p w14:paraId="376EA5EE" w14:textId="0B6B418E" w:rsidR="007001E1" w:rsidRPr="005D0F9E" w:rsidRDefault="007001E1" w:rsidP="007001E1">
            <w:r w:rsidRPr="005D0F9E">
              <w:t>Individual plant taxa detected or observed in association with the corresponding</w:t>
            </w:r>
            <w:r w:rsidR="005D0F9E">
              <w:t xml:space="preserve"> insect</w:t>
            </w:r>
            <w:r w:rsidRPr="005D0F9E">
              <w:t xml:space="preserve">. An “X” indicates that the plant–pollinator </w:t>
            </w:r>
            <w:r w:rsidR="005D0F9E" w:rsidRPr="005D0F9E">
              <w:t>interaction</w:t>
            </w:r>
            <w:r w:rsidRPr="005D0F9E">
              <w:t xml:space="preserve"> was recorded.</w:t>
            </w:r>
            <w:r w:rsidR="006126C0">
              <w:t xml:space="preserve"> </w:t>
            </w:r>
          </w:p>
        </w:tc>
      </w:tr>
    </w:tbl>
    <w:p w14:paraId="3C529C93" w14:textId="3FCDFD01" w:rsidR="00573B78" w:rsidRDefault="00573B78" w:rsidP="00573B78"/>
    <w:sectPr w:rsidR="00573B78">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B2790" w14:textId="77777777" w:rsidR="00E50A2A" w:rsidRDefault="00E50A2A" w:rsidP="00573B78">
      <w:pPr>
        <w:spacing w:after="0" w:line="240" w:lineRule="auto"/>
      </w:pPr>
      <w:r>
        <w:separator/>
      </w:r>
    </w:p>
  </w:endnote>
  <w:endnote w:type="continuationSeparator" w:id="0">
    <w:p w14:paraId="0D126A53" w14:textId="77777777" w:rsidR="00E50A2A" w:rsidRDefault="00E50A2A" w:rsidP="0057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2C617" w14:textId="77777777" w:rsidR="00E50A2A" w:rsidRDefault="00E50A2A" w:rsidP="00573B78">
      <w:pPr>
        <w:spacing w:after="0" w:line="240" w:lineRule="auto"/>
      </w:pPr>
      <w:r>
        <w:separator/>
      </w:r>
    </w:p>
  </w:footnote>
  <w:footnote w:type="continuationSeparator" w:id="0">
    <w:p w14:paraId="0AF9F4FB" w14:textId="77777777" w:rsidR="00E50A2A" w:rsidRDefault="00E50A2A" w:rsidP="00573B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E457" w14:textId="5C505573" w:rsidR="00FE7B81" w:rsidRDefault="00FE7B81">
    <w:pPr>
      <w:pStyle w:val="Header"/>
    </w:pPr>
    <w:r>
      <w:rPr>
        <w:noProof/>
      </w:rPr>
      <mc:AlternateContent>
        <mc:Choice Requires="wps">
          <w:drawing>
            <wp:anchor distT="0" distB="0" distL="0" distR="0" simplePos="0" relativeHeight="251659264" behindDoc="0" locked="0" layoutInCell="1" allowOverlap="1" wp14:anchorId="10EAF785" wp14:editId="0B5297B8">
              <wp:simplePos x="635" y="635"/>
              <wp:positionH relativeFrom="page">
                <wp:align>center</wp:align>
              </wp:positionH>
              <wp:positionV relativeFrom="page">
                <wp:align>top</wp:align>
              </wp:positionV>
              <wp:extent cx="622300" cy="405765"/>
              <wp:effectExtent l="0" t="0" r="6350" b="13335"/>
              <wp:wrapNone/>
              <wp:docPr id="13834335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0F3D3F1F" w14:textId="3BAB501E"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EAF785" id="_x0000_t202" coordsize="21600,21600" o:spt="202" path="m,l,21600r21600,l21600,xe">
              <v:stroke joinstyle="miter"/>
              <v:path gradientshapeok="t" o:connecttype="rect"/>
            </v:shapetype>
            <v:shape id="Text Box 2" o:spid="_x0000_s1026" type="#_x0000_t202" alt="OFFICIAL" style="position:absolute;margin-left:0;margin-top:0;width:49pt;height:31.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" filled="f" stroked="f">
              <v:fill o:detectmouseclick="t"/>
              <v:textbox style="mso-fit-shape-to-text:t" inset="0,15pt,0,0">
                <w:txbxContent>
                  <w:p w14:paraId="0F3D3F1F" w14:textId="3BAB501E"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6A793" w14:textId="798BF74B" w:rsidR="00FE7B81" w:rsidRDefault="00FE7B81">
    <w:pPr>
      <w:pStyle w:val="Header"/>
    </w:pPr>
    <w:r>
      <w:rPr>
        <w:noProof/>
      </w:rPr>
      <mc:AlternateContent>
        <mc:Choice Requires="wps">
          <w:drawing>
            <wp:anchor distT="0" distB="0" distL="0" distR="0" simplePos="0" relativeHeight="251660288" behindDoc="0" locked="0" layoutInCell="1" allowOverlap="1" wp14:anchorId="099AF95A" wp14:editId="1A9453A2">
              <wp:simplePos x="914400" y="449580"/>
              <wp:positionH relativeFrom="page">
                <wp:align>center</wp:align>
              </wp:positionH>
              <wp:positionV relativeFrom="page">
                <wp:align>top</wp:align>
              </wp:positionV>
              <wp:extent cx="622300" cy="405765"/>
              <wp:effectExtent l="0" t="0" r="6350" b="13335"/>
              <wp:wrapNone/>
              <wp:docPr id="112955015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58F11A2B" w14:textId="3485D237"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9AF95A" id="_x0000_t202" coordsize="21600,21600" o:spt="202" path="m,l,21600r21600,l21600,xe">
              <v:stroke joinstyle="miter"/>
              <v:path gradientshapeok="t" o:connecttype="rect"/>
            </v:shapetype>
            <v:shape id="Text Box 3" o:spid="_x0000_s1027" type="#_x0000_t202" alt="OFFICIAL" style="position:absolute;margin-left:0;margin-top:0;width:49pt;height:31.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" filled="f" stroked="f">
              <v:fill o:detectmouseclick="t"/>
              <v:textbox style="mso-fit-shape-to-text:t" inset="0,15pt,0,0">
                <w:txbxContent>
                  <w:p w14:paraId="58F11A2B" w14:textId="3485D237"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6F985" w14:textId="5CA6D14D" w:rsidR="00FE7B81" w:rsidRDefault="00FE7B81">
    <w:pPr>
      <w:pStyle w:val="Header"/>
    </w:pPr>
    <w:r>
      <w:rPr>
        <w:noProof/>
      </w:rPr>
      <mc:AlternateContent>
        <mc:Choice Requires="wps">
          <w:drawing>
            <wp:anchor distT="0" distB="0" distL="0" distR="0" simplePos="0" relativeHeight="251658240" behindDoc="0" locked="0" layoutInCell="1" allowOverlap="1" wp14:anchorId="06B865A5" wp14:editId="21E50C27">
              <wp:simplePos x="635" y="635"/>
              <wp:positionH relativeFrom="page">
                <wp:align>center</wp:align>
              </wp:positionH>
              <wp:positionV relativeFrom="page">
                <wp:align>top</wp:align>
              </wp:positionV>
              <wp:extent cx="622300" cy="405765"/>
              <wp:effectExtent l="0" t="0" r="6350" b="13335"/>
              <wp:wrapNone/>
              <wp:docPr id="132526479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405765"/>
                      </a:xfrm>
                      <a:prstGeom prst="rect">
                        <a:avLst/>
                      </a:prstGeom>
                      <a:noFill/>
                      <a:ln>
                        <a:noFill/>
                      </a:ln>
                    </wps:spPr>
                    <wps:txbx>
                      <w:txbxContent>
                        <w:p w14:paraId="6738681B" w14:textId="79FEB8F5"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B865A5" id="_x0000_t202" coordsize="21600,21600" o:spt="202" path="m,l,21600r21600,l21600,xe">
              <v:stroke joinstyle="miter"/>
              <v:path gradientshapeok="t" o:connecttype="rect"/>
            </v:shapetype>
            <v:shape id="Text Box 1" o:spid="_x0000_s1028" type="#_x0000_t202" alt="OFFICIAL" style="position:absolute;margin-left:0;margin-top:0;width:49pt;height:31.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" filled="f" stroked="f">
              <v:fill o:detectmouseclick="t"/>
              <v:textbox style="mso-fit-shape-to-text:t" inset="0,15pt,0,0">
                <w:txbxContent>
                  <w:p w14:paraId="6738681B" w14:textId="79FEB8F5" w:rsidR="00FE7B81" w:rsidRPr="00FE7B81" w:rsidRDefault="00FE7B81" w:rsidP="00FE7B81">
                    <w:pPr>
                      <w:spacing w:after="0"/>
                      <w:rPr>
                        <w:rFonts w:ascii="Aptos" w:eastAsia="Aptos" w:hAnsi="Aptos" w:cs="Aptos"/>
                        <w:noProof/>
                        <w:color w:val="000000"/>
                      </w:rPr>
                    </w:pPr>
                    <w:r w:rsidRPr="00FE7B81">
                      <w:rPr>
                        <w:rFonts w:ascii="Aptos" w:eastAsia="Aptos" w:hAnsi="Aptos" w:cs="Aptos"/>
                        <w:noProof/>
                        <w:color w:val="00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5FA2"/>
    <w:multiLevelType w:val="hybridMultilevel"/>
    <w:tmpl w:val="3712F4D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CB203B9"/>
    <w:multiLevelType w:val="hybridMultilevel"/>
    <w:tmpl w:val="F8C2DB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ADC6EA4"/>
    <w:multiLevelType w:val="hybridMultilevel"/>
    <w:tmpl w:val="C17429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EB83125"/>
    <w:multiLevelType w:val="hybridMultilevel"/>
    <w:tmpl w:val="A0CE78A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09723960">
    <w:abstractNumId w:val="2"/>
  </w:num>
  <w:num w:numId="2" w16cid:durableId="1693149361">
    <w:abstractNumId w:val="1"/>
  </w:num>
  <w:num w:numId="3" w16cid:durableId="1044868596">
    <w:abstractNumId w:val="0"/>
  </w:num>
  <w:num w:numId="4" w16cid:durableId="8620187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78"/>
    <w:rsid w:val="00036573"/>
    <w:rsid w:val="000C3D83"/>
    <w:rsid w:val="000D2EFD"/>
    <w:rsid w:val="001479FD"/>
    <w:rsid w:val="00400795"/>
    <w:rsid w:val="00472E53"/>
    <w:rsid w:val="004C1AFF"/>
    <w:rsid w:val="00573B78"/>
    <w:rsid w:val="005D0F9E"/>
    <w:rsid w:val="006126C0"/>
    <w:rsid w:val="007001E1"/>
    <w:rsid w:val="0080434D"/>
    <w:rsid w:val="00826B4D"/>
    <w:rsid w:val="00827EF2"/>
    <w:rsid w:val="00A634AA"/>
    <w:rsid w:val="00BF053D"/>
    <w:rsid w:val="00DD30D3"/>
    <w:rsid w:val="00DF4FBB"/>
    <w:rsid w:val="00E50A2A"/>
    <w:rsid w:val="00FE7B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7D35"/>
  <w15:chartTrackingRefBased/>
  <w15:docId w15:val="{7181D25F-9B61-495E-9A0C-3B824024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B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B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B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B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78"/>
    <w:rPr>
      <w:rFonts w:eastAsiaTheme="majorEastAsia" w:cstheme="majorBidi"/>
      <w:color w:val="272727" w:themeColor="text1" w:themeTint="D8"/>
    </w:rPr>
  </w:style>
  <w:style w:type="paragraph" w:styleId="Title">
    <w:name w:val="Title"/>
    <w:basedOn w:val="Normal"/>
    <w:next w:val="Normal"/>
    <w:link w:val="TitleChar"/>
    <w:uiPriority w:val="10"/>
    <w:qFormat/>
    <w:rsid w:val="00573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78"/>
    <w:pPr>
      <w:spacing w:before="160"/>
      <w:jc w:val="center"/>
    </w:pPr>
    <w:rPr>
      <w:i/>
      <w:iCs/>
      <w:color w:val="404040" w:themeColor="text1" w:themeTint="BF"/>
    </w:rPr>
  </w:style>
  <w:style w:type="character" w:customStyle="1" w:styleId="QuoteChar">
    <w:name w:val="Quote Char"/>
    <w:basedOn w:val="DefaultParagraphFont"/>
    <w:link w:val="Quote"/>
    <w:uiPriority w:val="29"/>
    <w:rsid w:val="00573B78"/>
    <w:rPr>
      <w:i/>
      <w:iCs/>
      <w:color w:val="404040" w:themeColor="text1" w:themeTint="BF"/>
    </w:rPr>
  </w:style>
  <w:style w:type="paragraph" w:styleId="ListParagraph">
    <w:name w:val="List Paragraph"/>
    <w:basedOn w:val="Normal"/>
    <w:uiPriority w:val="34"/>
    <w:qFormat/>
    <w:rsid w:val="00573B78"/>
    <w:pPr>
      <w:ind w:left="720"/>
      <w:contextualSpacing/>
    </w:pPr>
  </w:style>
  <w:style w:type="character" w:styleId="IntenseEmphasis">
    <w:name w:val="Intense Emphasis"/>
    <w:basedOn w:val="DefaultParagraphFont"/>
    <w:uiPriority w:val="21"/>
    <w:qFormat/>
    <w:rsid w:val="00573B78"/>
    <w:rPr>
      <w:i/>
      <w:iCs/>
      <w:color w:val="0F4761" w:themeColor="accent1" w:themeShade="BF"/>
    </w:rPr>
  </w:style>
  <w:style w:type="paragraph" w:styleId="IntenseQuote">
    <w:name w:val="Intense Quote"/>
    <w:basedOn w:val="Normal"/>
    <w:next w:val="Normal"/>
    <w:link w:val="IntenseQuoteChar"/>
    <w:uiPriority w:val="30"/>
    <w:qFormat/>
    <w:rsid w:val="00573B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78"/>
    <w:rPr>
      <w:i/>
      <w:iCs/>
      <w:color w:val="0F4761" w:themeColor="accent1" w:themeShade="BF"/>
    </w:rPr>
  </w:style>
  <w:style w:type="character" w:styleId="IntenseReference">
    <w:name w:val="Intense Reference"/>
    <w:basedOn w:val="DefaultParagraphFont"/>
    <w:uiPriority w:val="32"/>
    <w:qFormat/>
    <w:rsid w:val="00573B78"/>
    <w:rPr>
      <w:b/>
      <w:bCs/>
      <w:smallCaps/>
      <w:color w:val="0F4761" w:themeColor="accent1" w:themeShade="BF"/>
      <w:spacing w:val="5"/>
    </w:rPr>
  </w:style>
  <w:style w:type="paragraph" w:styleId="Header">
    <w:name w:val="header"/>
    <w:basedOn w:val="Normal"/>
    <w:link w:val="HeaderChar"/>
    <w:uiPriority w:val="99"/>
    <w:unhideWhenUsed/>
    <w:rsid w:val="00573B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3B78"/>
  </w:style>
  <w:style w:type="paragraph" w:styleId="Footer">
    <w:name w:val="footer"/>
    <w:basedOn w:val="Normal"/>
    <w:link w:val="FooterChar"/>
    <w:uiPriority w:val="99"/>
    <w:unhideWhenUsed/>
    <w:rsid w:val="00573B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B78"/>
  </w:style>
  <w:style w:type="character" w:styleId="Hyperlink">
    <w:name w:val="Hyperlink"/>
    <w:basedOn w:val="DefaultParagraphFont"/>
    <w:uiPriority w:val="99"/>
    <w:unhideWhenUsed/>
    <w:rsid w:val="00573B78"/>
    <w:rPr>
      <w:color w:val="467886" w:themeColor="hyperlink"/>
      <w:u w:val="single"/>
    </w:rPr>
  </w:style>
  <w:style w:type="character" w:styleId="UnresolvedMention">
    <w:name w:val="Unresolved Mention"/>
    <w:basedOn w:val="DefaultParagraphFont"/>
    <w:uiPriority w:val="99"/>
    <w:semiHidden/>
    <w:unhideWhenUsed/>
    <w:rsid w:val="00573B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618</Words>
  <Characters>3528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Sevenello Montagner</dc:creator>
  <cp:keywords/>
  <dc:description/>
  <cp:lastModifiedBy>Manuel Sevenello</cp:lastModifiedBy>
  <cp:revision>7</cp:revision>
  <dcterms:created xsi:type="dcterms:W3CDTF">2026-08-31T02:01:00Z</dcterms:created>
  <dcterms:modified xsi:type="dcterms:W3CDTF">2026-08-31T02:05:00Z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4efdef9d,52758520,4353914f</vt:lpwstr>
  </property>
  <property fmtid="{D5CDD505-2E9C-101B-9397-08002B2CF9AE}" pid="3" name="ClassificationContentMarkingHeaderFontProps">
    <vt:lpwstr>#000000,12,Aptos</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2026-08-31T02:01:41Z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6ac242e9-deb3-4c2c-a6f8-8febf64b6c23</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