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44"/>
          <w:szCs w:val="44"/>
        </w:rPr>
        <w:t xml:space="preserve">AUDIT DE PERFORMANCE</w:t>
      </w:r>
    </w:p>
    <w:p>
      <w:pPr>
        <w:spacing w:after="40"/>
      </w:pPr>
      <w:r>
        <w:rPr>
          <w:color w:val="2E5496"/>
          <w:sz w:val="26"/>
          <w:szCs w:val="26"/>
        </w:rPr>
        <w:t xml:space="preserve">Rapport Power BI — modèle sémantique &amp; rapport</w:t>
      </w:r>
    </w:p>
    <w:p>
      <w:pPr>
        <w:pBdr>
          <w:bottom w:val="single" w:color="1F3864" w:sz="12" w:space="6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Périmètre analysé : </w:t>
      </w:r>
      <w:r>
        <w:rPr>
          <w:sz w:val="21"/>
          <w:szCs w:val="21"/>
        </w:rPr>
        <w:t xml:space="preserve">définition du modèle sémantique (41 tables), configuration du rapport, et définition des 3 pages (349 objets). Analyse statique des métadonnées PBIP — sans les données.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Date : </w:t>
      </w:r>
      <w:r>
        <w:rPr>
          <w:color w:val="595959"/>
          <w:sz w:val="21"/>
          <w:szCs w:val="21"/>
        </w:rPr>
        <w:t xml:space="preserve">16 septembre 2026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1. Synthèse</w:t>
      </w:r>
    </w:p>
    <w:p>
      <w:pPr>
        <w:spacing w:after="100" w:line="276"/>
      </w:pPr>
      <w:r>
        <w:rPr>
          <w:sz w:val="21"/>
          <w:szCs w:val="21"/>
        </w:rPr>
        <w:t xml:space="preserve">La lenteur d'ouverture et d'interaction du rapport ne provient pas du volume de données (les tables concernées sont de l'ordre de 100 000 à 200 000 lignes, ce qui est faible pour Power BI). Elle résulte de la combinaison de trois facteurs structurels 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Architecture : </w:t>
      </w:r>
      <w:r>
        <w:rPr>
          <w:sz w:val="21"/>
          <w:szCs w:val="21"/>
        </w:rPr>
        <w:t xml:space="preserve">le rapport interroge en DirectQuery un modèle sémantique distant hébergé dans un environnement de développement (« PRISME - DEV »). 38 tables sur 41 sont en DirectQuery.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Modèle : </w:t>
      </w:r>
      <w:r>
        <w:rPr>
          <w:sz w:val="21"/>
          <w:szCs w:val="21"/>
        </w:rPr>
        <w:t xml:space="preserve">les 34 relations du modèle sont toutes en filtrage bidirectionnel, ce qui alourdit chaque requête.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Densité : </w:t>
      </w:r>
      <w:r>
        <w:rPr>
          <w:sz w:val="21"/>
          <w:szCs w:val="21"/>
        </w:rPr>
        <w:t xml:space="preserve">la page ouverte en premier contient 44 visuels qui interrogent le modèle (dont 20 cartes), déclenchant autant de requêtes réseau au chargement.</w:t>
      </w:r>
    </w:p>
    <w:p>
      <w:pPr>
        <w:spacing w:after="100" w:line="276"/>
      </w:pPr>
      <w:r>
        <w:rPr>
          <w:i/>
          <w:iCs/>
          <w:color w:val="595959"/>
          <w:sz w:val="21"/>
          <w:szCs w:val="21"/>
        </w:rPr>
        <w:t xml:space="preserve">Aucun de ces facteurs n'exige de licence supérieure : ils se corrigent par la conception. Une capacité plus puissante masquerait le problème à coût élevé sans le résoudre.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2. Diagnostic détaillé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550"/>
        <w:gridCol w:w="4226"/>
        <w:gridCol w:w="2250"/>
      </w:tblGrid>
      <w:tr>
        <w:trPr>
          <w:tblHeader/>
        </w:trPr>
        <w:tc>
          <w:tcPr>
            <w:tcW w:type="dxa" w:w="25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2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Gravité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Mode de stockage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DirectQuery vers un modèle sémantique distant (« PRISME - DEV »). 38 / 41 tables concernées ; 3 tables de paramétrage en Import.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Cause racine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Relations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34 / 34 en filtrage bidirectionnel (crossFilteringBehavior : bothDirections), aucune inactive.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Aggravant majeur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Environnement cible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Connexion pointant vers « DEV » et non vers la production.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À corriger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Densité des pages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 pages seulement, mais 349 objets au total ; la page d'accueil déclenche 44 requêtes.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Aggravant majeur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Cartes multiples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 cartes sur la page d'accueil, 30 sur « Fiche unitaire » : chaque carte = 1 requête distincte.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Aggravant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Info-bulles enrichies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useEnhancedTooltips activé : requêtes supplémentaires au survol.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Mineur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Filtres au niveau rapport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 filtres sur la table Affaire, injectés dans toutes les requêtes.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Mineur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Visuels personnalisés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 visuels personnalisés déclarés (Gantt, timelines, Visio) mais utilisés sur aucune page : nettoyage seulement.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Cosmétique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Time Intelligence auto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Activé ; 168 colonnes de type dateTime. Impact limité en DirectQuery.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BF9000"/>
                <w:sz w:val="20"/>
                <w:szCs w:val="20"/>
              </w:rPr>
              <w:t xml:space="preserve">Mineur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Colonnes calculées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Aucune colonne calculée dans le modèle — bon point.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3. Mécanique de la lenteur à l'ouverture</w:t>
      </w:r>
    </w:p>
    <w:p>
      <w:pPr>
        <w:spacing w:after="100" w:line="276"/>
      </w:pPr>
      <w:r>
        <w:rPr>
          <w:sz w:val="21"/>
          <w:szCs w:val="21"/>
        </w:rPr>
        <w:t xml:space="preserve">La page affichée au démarrage est « Vue d'ensemble ». Au chargement, la séquence est la suivante 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44 visuels lancent chacun au moins une requête 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chaque requête part en aller-retour réseau vers le modèle distant PRISME - DEV (DirectQuery) 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chaque requête doit traverser des relations bidirectionnelles, ce qui accroît sa complexité 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les info-bulles enrichies et les filtres rapport ajoutent des requêtes supplémentaires.</w:t>
      </w:r>
    </w:p>
    <w:p>
      <w:pPr>
        <w:spacing w:after="100" w:line="276"/>
      </w:pPr>
      <w:r>
        <w:rPr>
          <w:sz w:val="21"/>
          <w:szCs w:val="21"/>
        </w:rPr>
        <w:t xml:space="preserve">Le temps d'ouverture est donc le produit de trois multiplicateurs : </w:t>
      </w:r>
      <w:r>
        <w:rPr>
          <w:b/>
          <w:bCs/>
          <w:sz w:val="21"/>
          <w:szCs w:val="21"/>
        </w:rPr>
        <w:t xml:space="preserve">architecture DirectQuery distante × modèle tout-bidirectionnel × densité de visuels.</w:t>
      </w:r>
      <w:r>
        <w:rPr>
          <w:sz w:val="21"/>
          <w:szCs w:val="21"/>
        </w:rPr>
        <w:t xml:space="preserve"> Les 20 cartes à elles seules représentent 20 requêtes séparées qui pourraient être consolidées en une ou deux.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4. Détail par page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126"/>
        <w:gridCol w:w="1650"/>
        <w:gridCol w:w="1650"/>
        <w:gridCol w:w="2600"/>
      </w:tblGrid>
      <w:tr>
        <w:trPr>
          <w:tblHeader/>
        </w:trPr>
        <w:tc>
          <w:tcPr>
            <w:tcW w:type="dxa" w:w="31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Objets</w:t>
            </w:r>
          </w:p>
        </w:tc>
        <w:tc>
          <w:tcPr>
            <w:tcW w:type="dxa" w:w="16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Visuels requêteurs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 notables</w:t>
            </w:r>
          </w:p>
        </w:tc>
      </w:tr>
      <w:tr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Vue d'ensemble (ouverte en 1er)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130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 cartes, 13 segments</w:t>
            </w:r>
          </w:p>
        </w:tc>
      </w:tr>
      <w:tr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Fiche unitaire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151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 cartes, 2 arbres de décomposition, 2 tableaux</w:t>
            </w:r>
          </w:p>
        </w:tc>
      </w:tr>
      <w:tr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Pilotage opérationnel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 segments, 1 arbre de décomposition</w:t>
            </w:r>
          </w:p>
        </w:tc>
      </w:tr>
    </w:tbl>
    <w:p>
      <w:pPr>
        <w:spacing w:after="100" w:before="100"/>
      </w:pPr>
      <w:r>
        <w:rPr>
          <w:b/>
          <w:bCs/>
          <w:sz w:val="21"/>
          <w:szCs w:val="21"/>
        </w:rPr>
        <w:t xml:space="preserve">Repère : </w:t>
      </w:r>
      <w:r>
        <w:rPr>
          <w:i/>
          <w:iCs/>
          <w:color w:val="595959"/>
          <w:sz w:val="21"/>
          <w:szCs w:val="21"/>
        </w:rPr>
        <w:t xml:space="preserve">la bonne pratique se situe autour de 8 à 20 visuels requêteurs par page. Les autres objets (groupes, formes, images, textes) sont cosmétiques et n'interrogent pas le modèle.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5. Plan de remédiation priorisé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Priorité 1 — Repenser la connexion (levier structurant)</w:t>
      </w:r>
    </w:p>
    <w:p>
      <w:pPr>
        <w:spacing w:after="100" w:line="276"/>
      </w:pPr>
      <w:r>
        <w:rPr>
          <w:sz w:val="21"/>
          <w:szCs w:val="21"/>
        </w:rPr>
        <w:t xml:space="preserve">C'est ici que se joue l'essentiel du gain. Trois options, par ordre de préférence 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Connexion Live</w:t>
      </w:r>
      <w:r>
        <w:rPr>
          <w:sz w:val="21"/>
          <w:szCs w:val="21"/>
        </w:rPr>
        <w:t xml:space="preserve"> au modèle PRISME plutôt qu'un modèle composite en DirectQuery. Les seules tables ajoutées en local sont 3 tables de paramétrage : si elles peuvent être poussées en amont dans PRISME, une connexion Live supprime toute la surcouche composite.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Mode Import</w:t>
      </w:r>
      <w:r>
        <w:rPr>
          <w:sz w:val="21"/>
          <w:szCs w:val="21"/>
        </w:rPr>
        <w:t xml:space="preserve"> : les volumes sont faibles (≈ 200 000 lignes). Une connexion en Import à la source sous-jacente rendrait le rapport quasi instantané.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A minima : pointer vers la production</w:t>
      </w:r>
      <w:r>
        <w:rPr>
          <w:sz w:val="21"/>
          <w:szCs w:val="21"/>
        </w:rPr>
        <w:t xml:space="preserve"> et non vers l'environnement « DEV ».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Priorité 2 — Supprimer les relations bidirectionnelles</w:t>
      </w:r>
    </w:p>
    <w:p>
      <w:pPr>
        <w:spacing w:after="100" w:line="276"/>
      </w:pPr>
      <w:r>
        <w:rPr>
          <w:sz w:val="21"/>
          <w:szCs w:val="21"/>
        </w:rPr>
        <w:t xml:space="preserve">Repasser en direction simple toutes les relations où le filtrage croisé n'est pas strictement nécessaire (voir l'annexe pour la liste complète et le classement). Gain immédiat sur chaque requête.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Priorité 3 — Alléger les pages, en commençant par la page d'accueil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Consolider les 20 cartes en une ou deux cartes multi-lignes (ou une matrice) : de 20 requêtes à 1-2.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Réduire ou regrouper les segments (un volet de filtres plutôt que 13 segments posés).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Prévoir une page d'accueil légère (navigation + quelques KPI) et renvoyer le détail vers les autres pages.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Appliquer la même logique à « Fiche unitaire » (30 cartes).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Priorité 4 — Réglages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Désactiver les info-bulles enrichies (useEnhancedTooltips).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Désactiver les interactions inutiles entre visuels.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Nettoyer : les 6 visuels personnalisés inutilisés, le Time Intelligence automatique, et les filtres rapport non essentiels.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Annexe — Les 34 relations à traiter</w:t>
      </w:r>
    </w:p>
    <w:p>
      <w:pPr>
        <w:spacing w:after="100" w:line="276"/>
      </w:pPr>
      <w:r>
        <w:rPr>
          <w:sz w:val="21"/>
          <w:szCs w:val="21"/>
        </w:rPr>
        <w:t xml:space="preserve">Toutes les relations sont en filtrage bidirectionnel, aucune n'est inactive. Elles sont classées en deux groupes distincts, à traiter différemment.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Groupe A — 22 relations « dimension → fait » à repasser en direction simple</w:t>
      </w:r>
    </w:p>
    <w:p>
      <w:pPr>
        <w:spacing w:after="100" w:line="276"/>
      </w:pPr>
      <w:r>
        <w:rPr>
          <w:sz w:val="21"/>
          <w:szCs w:val="21"/>
        </w:rPr>
        <w:t xml:space="preserve">Relations classiques où une table de détail pointe vers une référence ou un calendrier. Le bidirectionnel n'y a quasiment jamais de justification. </w:t>
      </w:r>
      <w:r>
        <w:rPr>
          <w:b/>
          <w:bCs/>
          <w:sz w:val="21"/>
          <w:szCs w:val="21"/>
        </w:rPr>
        <w:t xml:space="preserve">À passer en OneDirection</w:t>
      </w:r>
      <w:r>
        <w:rPr>
          <w:sz w:val="21"/>
          <w:szCs w:val="21"/>
        </w:rPr>
        <w:t xml:space="preserve"> (sauf cas particulier). Les liens vers les tables Calendrier sont les plus évidents à corriger.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(côté « plusieurs »)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de référence (côté « 1 »)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Patrimoine.Code_INSEE_commune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Geographie.Code_INSEE_commune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Patrimoine.Date_construction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Calendrier_patrimoine_date_construction.Date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Piece.ID_lot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Calendrier_lot_historique.Annee_mois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Lot_historique.Annee_mois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Collaborateur.ID_organisation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Organisation.ID_organisation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Occupant.ID_client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Client.ID_client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Lot_historique.ID_lot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Lot_historique.Date_mise_en_service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Calendrier_lot_historique_date_mise_en_service.Date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Copropriete.ID_patrimoine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Patrimoine.ID_patrimoine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Client_historique.ID_client_annee_mois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Releve_compte_client_historique.ID_client_annee_mois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Client_historique.ID_client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Client.ID_client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Copropriete_resolution.ID_copropriete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Copropriete.ID_copropriete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Copropriete_resolution.Date_document_source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Calendrier_copropriete_resolution.Date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Diagnostic.ID_lot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Diagnostic.Date_debut_diagnostic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Calendrier_diagnostic.Date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Intervention.ID_commande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Commande.ID_commande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Calendrier_releve_compte_client_historique.Annee_mois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Releve_compte_client_historique.Annee_mois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Contentieux_client_historique.ID_client_annee_mois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Client_historique.ID_client_annee_mois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Diagnostic_valeur.ID_diagnostic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Diagnostic.ID_diagnostic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Enquete_satisfaction_envoi.ID_client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Client.ID_client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Affaire.Date_enregistrement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Calendrier_affaire_date_enregistrement.Date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Reglementation.ID_lot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Groupe B — 12 relations passant par une table de liaison (_pivot)</w:t>
      </w:r>
    </w:p>
    <w:p>
      <w:pPr>
        <w:spacing w:after="100" w:line="276"/>
      </w:pPr>
      <w:r>
        <w:rPr>
          <w:sz w:val="21"/>
          <w:szCs w:val="21"/>
        </w:rPr>
        <w:t xml:space="preserve">Tables de liaison plusieurs-à-plusieurs. Ici le bidirectionnel </w:t>
      </w:r>
      <w:r>
        <w:rPr>
          <w:i/>
          <w:iCs/>
          <w:sz w:val="21"/>
          <w:szCs w:val="21"/>
        </w:rPr>
        <w:t xml:space="preserve">peut</w:t>
      </w:r>
      <w:r>
        <w:rPr>
          <w:sz w:val="21"/>
          <w:szCs w:val="21"/>
        </w:rPr>
        <w:t xml:space="preserve"> être volontaire pour propager le filtre à travers le pont. </w:t>
      </w:r>
      <w:r>
        <w:rPr>
          <w:b/>
          <w:bCs/>
          <w:sz w:val="21"/>
          <w:szCs w:val="21"/>
        </w:rPr>
        <w:t xml:space="preserve">À arbitrer au cas par cas</w:t>
      </w:r>
      <w:r>
        <w:rPr>
          <w:sz w:val="21"/>
          <w:szCs w:val="21"/>
        </w:rPr>
        <w:t xml:space="preserve"> — ne pas modifier en bloc. Idéalement, remplacer le pont par une dimension unique (dénormalisation) ; à défaut, ne conserver le bidirectionnel que sur le lien strictement nécessaire.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de liaison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liée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Bail.ID_client_lot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Client_lot_pivot.ID_client_lot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Patrimoine_lot_pivot.ID_lot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Patrimoine_lot_pivot.ID_patrimoine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Patrimoine.ID_patrimoine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Patrimoine_lot_pivot.ID_patrimoine_lot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Equipement.ID_patrimoine_lot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Commande_lot_pivot.ID_lot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Commande_lot_pivot.ID_commande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Commande.ID_commande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Organisation_patrimoine_pivot.ID_patrimoine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Patrimoine.ID_patrimoine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Organisation_patrimoine_pivot.ID_organisation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Organisation.ID_organisation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Affaire_pivot.ID_client_lot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Client_lot_pivot.ID_client_lot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Affaire_pivot.ID_affaire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Affaire.ID_affaire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Client_lot_pivot.ID_lot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Lot.ID_lot</w:t>
            </w:r>
          </w:p>
        </w:tc>
      </w:tr>
      <w:tr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Client_lot_pivot.ID_client</w:t>
            </w:r>
          </w:p>
        </w:tc>
        <w:tc>
          <w:tcPr>
            <w:tcW w:type="dxa" w:w="45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Client.ID_client</w:t>
            </w:r>
          </w:p>
        </w:tc>
      </w:tr>
    </w:tbl>
    <w:p>
      <w:pPr>
        <w:spacing w:before="140"/>
      </w:pPr>
      <w:r>
        <w:rPr>
          <w:b/>
          <w:bCs/>
          <w:sz w:val="21"/>
          <w:szCs w:val="21"/>
        </w:rPr>
        <w:t xml:space="preserve">Mise en œuvre rapide : </w:t>
      </w:r>
      <w:r>
        <w:rPr>
          <w:sz w:val="21"/>
          <w:szCs w:val="21"/>
        </w:rPr>
        <w:t xml:space="preserve">plutôt que de modifier 34 relations à la main, utiliser Tabular Editor pour repasser en masse le groupe A en OneDirection, puis arbitrer le groupe B individuellement.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2026-09-16T09:05:14.807Z</dcterms:created>
  <dcterms:modified xsi:type="dcterms:W3CDTF">2026-09-16T09:05:14.814Z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