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63EC" w14:textId="354EACE7" w:rsidR="00D87C16" w:rsidRDefault="0010268C">
      <w:r>
        <w:rPr>
          <w:noProof/>
        </w:rPr>
        <w:drawing>
          <wp:inline distT="0" distB="0" distL="0" distR="0" wp14:anchorId="04D474C7" wp14:editId="034DC4CE">
            <wp:extent cx="5274310" cy="3307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4C6" w14:textId="231C5EAF" w:rsidR="0075255A" w:rsidRDefault="0075255A">
      <w:r>
        <w:rPr>
          <w:rFonts w:hint="eastAsia"/>
        </w:rPr>
        <w:t xml:space="preserve">这里A： </w:t>
      </w:r>
      <w:r>
        <w:t>N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rows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rowset</w:t>
      </w:r>
      <w:proofErr w:type="spellEnd"/>
      <w:r>
        <w:rPr>
          <w:rFonts w:hint="eastAsia"/>
        </w:rPr>
        <w:t xml:space="preserve">： </w:t>
      </w:r>
      <w:r w:rsidR="00F12E02">
        <w:rPr>
          <w:rFonts w:hint="eastAsia"/>
        </w:rPr>
        <w:t xml:space="preserve">步骤间缓存数据集大小，适当增大该数据集大小，有利于提高转换执行效率。 注： 结合Sort组件。 </w:t>
      </w:r>
    </w:p>
    <w:p w14:paraId="126936CB" w14:textId="323FDEEE" w:rsidR="00F12E02" w:rsidRDefault="00F12E02"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 xml:space="preserve">为转换添加事务，整个转换各数据库相关的步骤，将在同一个事务中，即整体提交，回滚。 </w:t>
      </w:r>
    </w:p>
    <w:p w14:paraId="57582D39" w14:textId="77777777" w:rsidR="00F12E02" w:rsidRDefault="00F12E02">
      <w:pPr>
        <w:rPr>
          <w:rFonts w:hint="eastAsia"/>
        </w:rPr>
      </w:pPr>
      <w:bookmarkStart w:id="0" w:name="_GoBack"/>
      <w:bookmarkEnd w:id="0"/>
    </w:p>
    <w:sectPr w:rsidR="00F1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1B"/>
    <w:rsid w:val="0010268C"/>
    <w:rsid w:val="0073011B"/>
    <w:rsid w:val="0075255A"/>
    <w:rsid w:val="00D87C16"/>
    <w:rsid w:val="00F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240C"/>
  <w15:chartTrackingRefBased/>
  <w15:docId w15:val="{0A929933-45F7-42BD-AFD6-FB93466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2019-07-15T09:25:00Z</dcterms:created>
  <dcterms:modified xsi:type="dcterms:W3CDTF">2019-07-15T09:28:00Z</dcterms:modified>
</cp:coreProperties>
</file>