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tổng kết dự án</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Thông tin chung</w:t>
      </w:r>
    </w:p>
    <w:p>
      <w:pPr>
        <w:spacing w:before="0" w:after="40" w:line="276" w:lineRule="auto"/>
        <w:jc w:val="left"/>
      </w:pPr>
      <w:r>
        <w:rPr>
          <w:rFonts w:ascii="Times New Roman" w:hAnsi="Times New Roman" w:eastAsia="Times New Roman" w:cs="Times New Roman"/>
          <w:b w:val="0"/>
          <w:i w:val="0"/>
          <w:caps w:val="0"/>
          <w:color w:val="000000"/>
          <w:sz w:val="26"/>
        </w:rPr>
        <w:t>2. Phạm vi và sản phẩm bàn giao</w:t>
      </w:r>
    </w:p>
    <w:p>
      <w:pPr>
        <w:spacing w:before="0" w:after="40" w:line="276" w:lineRule="auto"/>
        <w:jc w:val="left"/>
      </w:pPr>
      <w:r>
        <w:rPr>
          <w:rFonts w:ascii="Times New Roman" w:hAnsi="Times New Roman" w:eastAsia="Times New Roman" w:cs="Times New Roman"/>
          <w:b w:val="0"/>
          <w:i w:val="0"/>
          <w:caps w:val="0"/>
          <w:color w:val="000000"/>
          <w:sz w:val="26"/>
        </w:rPr>
        <w:t>3. Tiến độ</w:t>
      </w:r>
    </w:p>
    <w:p>
      <w:pPr>
        <w:spacing w:before="0" w:after="40" w:line="276" w:lineRule="auto"/>
        <w:jc w:val="left"/>
      </w:pPr>
      <w:r>
        <w:rPr>
          <w:rFonts w:ascii="Times New Roman" w:hAnsi="Times New Roman" w:eastAsia="Times New Roman" w:cs="Times New Roman"/>
          <w:b w:val="0"/>
          <w:i w:val="0"/>
          <w:caps w:val="0"/>
          <w:color w:val="000000"/>
          <w:sz w:val="26"/>
        </w:rPr>
        <w:t>4. Chi phí và nguồn lực</w:t>
      </w:r>
    </w:p>
    <w:p>
      <w:pPr>
        <w:spacing w:before="0" w:after="40" w:line="276" w:lineRule="auto"/>
        <w:jc w:val="left"/>
      </w:pPr>
      <w:r>
        <w:rPr>
          <w:rFonts w:ascii="Times New Roman" w:hAnsi="Times New Roman" w:eastAsia="Times New Roman" w:cs="Times New Roman"/>
          <w:b w:val="0"/>
          <w:i w:val="0"/>
          <w:caps w:val="0"/>
          <w:color w:val="000000"/>
          <w:sz w:val="26"/>
        </w:rPr>
        <w:t>5. Chất lượng</w:t>
      </w:r>
    </w:p>
    <w:p>
      <w:pPr>
        <w:spacing w:before="0" w:after="40" w:line="276" w:lineRule="auto"/>
        <w:jc w:val="left"/>
      </w:pPr>
      <w:r>
        <w:rPr>
          <w:rFonts w:ascii="Times New Roman" w:hAnsi="Times New Roman" w:eastAsia="Times New Roman" w:cs="Times New Roman"/>
          <w:b w:val="0"/>
          <w:i w:val="0"/>
          <w:caps w:val="0"/>
          <w:color w:val="000000"/>
          <w:sz w:val="26"/>
        </w:rPr>
        <w:t>6. Thay đổi và rủi ro</w:t>
      </w:r>
    </w:p>
    <w:p>
      <w:pPr>
        <w:spacing w:before="0" w:after="40" w:line="276" w:lineRule="auto"/>
        <w:jc w:val="left"/>
      </w:pPr>
      <w:r>
        <w:rPr>
          <w:rFonts w:ascii="Times New Roman" w:hAnsi="Times New Roman" w:eastAsia="Times New Roman" w:cs="Times New Roman"/>
          <w:b w:val="0"/>
          <w:i w:val="0"/>
          <w:caps w:val="0"/>
          <w:color w:val="000000"/>
          <w:sz w:val="26"/>
        </w:rPr>
        <w:t>7. Bàn giao và công việc sau dự án</w:t>
      </w:r>
    </w:p>
    <w:p>
      <w:pPr>
        <w:spacing w:before="0" w:after="40" w:line="276" w:lineRule="auto"/>
        <w:jc w:val="left"/>
      </w:pPr>
      <w:r>
        <w:rPr>
          <w:rFonts w:ascii="Times New Roman" w:hAnsi="Times New Roman" w:eastAsia="Times New Roman" w:cs="Times New Roman"/>
          <w:b w:val="0"/>
          <w:i w:val="0"/>
          <w:caps w:val="0"/>
          <w:color w:val="000000"/>
          <w:sz w:val="26"/>
        </w:rPr>
        <w:t>8. Kết luận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3000"/>
        <w:gridCol w:w="30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w:t>
            </w:r>
          </w:p>
        </w:tc>
        <w:tc>
          <w:tcPr>
            <w:tcW w:type="dxa" w:w="3000"/>
          </w:tcPr>
          <w:p>
            <w:pPr>
              <w:spacing w:before="0" w:after="40"/>
              <w:jc w:val="left"/>
            </w:pPr>
            <w:r>
              <w:rPr>
                <w:rFonts w:ascii="Times New Roman" w:hAnsi="Times New Roman" w:eastAsia="Times New Roman" w:cs="Times New Roman"/>
                <w:b w:val="0"/>
                <w:i w:val="0"/>
                <w:caps w:val="0"/>
                <w:color w:val="000000"/>
                <w:sz w:val="24"/>
              </w:rPr>
              <w:t>Thực tế</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3000"/>
          </w:tcPr>
          <w:p>
            <w:pPr>
              <w:spacing w:before="0" w:after="40"/>
              <w:jc w:val="left"/>
            </w:pPr>
            <w:r>
              <w:rPr>
                <w:rFonts w:ascii="Times New Roman" w:hAnsi="Times New Roman" w:eastAsia="Times New Roman" w:cs="Times New Roman"/>
                <w:b w:val="0"/>
                <w:i w:val="0"/>
                <w:caps w:val="0"/>
                <w:color w:val="000000"/>
                <w:sz w:val="24"/>
              </w:rPr>
              <w:t>18/03/2027 đến 04/08/2027</w:t>
            </w:r>
          </w:p>
        </w:tc>
        <w:tc>
          <w:tcPr>
            <w:tcW w:type="dxa" w:w="3000"/>
          </w:tcPr>
          <w:p>
            <w:pPr>
              <w:spacing w:before="0" w:after="40"/>
              <w:jc w:val="left"/>
            </w:pPr>
            <w:r>
              <w:rPr>
                <w:rFonts w:ascii="Times New Roman" w:hAnsi="Times New Roman" w:eastAsia="Times New Roman" w:cs="Times New Roman"/>
                <w:b w:val="0"/>
                <w:i w:val="0"/>
                <w:caps w:val="0"/>
                <w:color w:val="000000"/>
                <w:sz w:val="24"/>
              </w:rPr>
              <w:t>18/03/2027 đến 04/08/2027</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Đưa hệ thống vào vận hành</w:t>
            </w:r>
          </w:p>
        </w:tc>
        <w:tc>
          <w:tcPr>
            <w:tcW w:type="dxa" w:w="3000"/>
          </w:tcPr>
          <w:p>
            <w:pPr>
              <w:spacing w:before="0" w:after="40"/>
              <w:jc w:val="left"/>
            </w:pPr>
            <w:r>
              <w:rPr>
                <w:rFonts w:ascii="Times New Roman" w:hAnsi="Times New Roman" w:eastAsia="Times New Roman" w:cs="Times New Roman"/>
                <w:b w:val="0"/>
                <w:i w:val="0"/>
                <w:caps w:val="0"/>
                <w:color w:val="000000"/>
                <w:sz w:val="24"/>
              </w:rPr>
              <w:t>29/07/2027</w:t>
            </w:r>
          </w:p>
        </w:tc>
        <w:tc>
          <w:tcPr>
            <w:tcW w:type="dxa" w:w="3000"/>
          </w:tcPr>
          <w:p>
            <w:pPr>
              <w:spacing w:before="0" w:after="40"/>
              <w:jc w:val="left"/>
            </w:pPr>
            <w:r>
              <w:rPr>
                <w:rFonts w:ascii="Times New Roman" w:hAnsi="Times New Roman" w:eastAsia="Times New Roman" w:cs="Times New Roman"/>
                <w:b w:val="0"/>
                <w:i w:val="0"/>
                <w:caps w:val="0"/>
                <w:color w:val="000000"/>
                <w:sz w:val="24"/>
              </w:rPr>
              <w:t>29/07/2027</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Giá hợp đồng trước thuế,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1.949.024.682</w:t>
            </w:r>
          </w:p>
        </w:tc>
        <w:tc>
          <w:tcPr>
            <w:tcW w:type="dxa" w:w="3000"/>
          </w:tcPr>
          <w:p>
            <w:pPr>
              <w:spacing w:before="0" w:after="40"/>
              <w:jc w:val="left"/>
            </w:pPr>
            <w:r>
              <w:rPr>
                <w:rFonts w:ascii="Times New Roman" w:hAnsi="Times New Roman" w:eastAsia="Times New Roman" w:cs="Times New Roman"/>
                <w:b w:val="0"/>
                <w:i w:val="0"/>
                <w:caps w:val="0"/>
                <w:color w:val="000000"/>
                <w:sz w:val="24"/>
              </w:rPr>
              <w:t>1.949.024.682</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Công sức, MD</w:t>
            </w:r>
          </w:p>
        </w:tc>
        <w:tc>
          <w:tcPr>
            <w:tcW w:type="dxa" w:w="3000"/>
          </w:tcPr>
          <w:p>
            <w:pPr>
              <w:spacing w:before="0" w:after="40"/>
              <w:jc w:val="left"/>
            </w:pPr>
            <w:r>
              <w:rPr>
                <w:rFonts w:ascii="Times New Roman" w:hAnsi="Times New Roman" w:eastAsia="Times New Roman" w:cs="Times New Roman"/>
                <w:b w:val="0"/>
                <w:i w:val="0"/>
                <w:caps w:val="0"/>
                <w:color w:val="000000"/>
                <w:sz w:val="24"/>
              </w:rPr>
              <w:t>733</w:t>
            </w:r>
          </w:p>
        </w:tc>
        <w:tc>
          <w:tcPr>
            <w:tcW w:type="dxa" w:w="3000"/>
          </w:tcPr>
          <w:p>
            <w:pPr>
              <w:spacing w:before="0" w:after="40"/>
              <w:jc w:val="left"/>
            </w:pPr>
            <w:r>
              <w:rPr>
                <w:rFonts w:ascii="Times New Roman" w:hAnsi="Times New Roman" w:eastAsia="Times New Roman" w:cs="Times New Roman"/>
                <w:b w:val="0"/>
                <w:i w:val="0"/>
                <w:caps w:val="0"/>
                <w:color w:val="000000"/>
                <w:sz w:val="24"/>
              </w:rPr>
              <w:t>736,75</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Ngày huy động nhân sự, MD</w:t>
            </w:r>
          </w:p>
        </w:tc>
        <w:tc>
          <w:tcPr>
            <w:tcW w:type="dxa" w:w="3000"/>
          </w:tcPr>
          <w:p>
            <w:pPr>
              <w:spacing w:before="0" w:after="40"/>
              <w:jc w:val="left"/>
            </w:pPr>
            <w:r>
              <w:rPr>
                <w:rFonts w:ascii="Times New Roman" w:hAnsi="Times New Roman" w:eastAsia="Times New Roman" w:cs="Times New Roman"/>
                <w:b w:val="0"/>
                <w:i w:val="0"/>
                <w:caps w:val="0"/>
                <w:color w:val="000000"/>
                <w:sz w:val="24"/>
              </w:rPr>
              <w:t>908</w:t>
            </w:r>
          </w:p>
        </w:tc>
        <w:tc>
          <w:tcPr>
            <w:tcW w:type="dxa" w:w="3000"/>
          </w:tcPr>
          <w:p>
            <w:pPr>
              <w:spacing w:before="0" w:after="40"/>
              <w:jc w:val="left"/>
            </w:pPr>
            <w:r>
              <w:rPr>
                <w:rFonts w:ascii="Times New Roman" w:hAnsi="Times New Roman" w:eastAsia="Times New Roman" w:cs="Times New Roman"/>
                <w:b w:val="0"/>
                <w:i w:val="0"/>
                <w:caps w:val="0"/>
                <w:color w:val="000000"/>
                <w:sz w:val="24"/>
              </w:rPr>
              <w:t>921</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Số gói công việc hoàn thành</w:t>
            </w:r>
          </w:p>
        </w:tc>
        <w:tc>
          <w:tcPr>
            <w:tcW w:type="dxa" w:w="3000"/>
          </w:tcPr>
          <w:p>
            <w:pPr>
              <w:spacing w:before="0" w:after="40"/>
              <w:jc w:val="left"/>
            </w:pPr>
            <w:r>
              <w:rPr>
                <w:rFonts w:ascii="Times New Roman" w:hAnsi="Times New Roman" w:eastAsia="Times New Roman" w:cs="Times New Roman"/>
                <w:b w:val="0"/>
                <w:i w:val="0"/>
                <w:caps w:val="0"/>
                <w:color w:val="000000"/>
                <w:sz w:val="24"/>
              </w:rPr>
              <w:t>173</w:t>
            </w:r>
          </w:p>
        </w:tc>
        <w:tc>
          <w:tcPr>
            <w:tcW w:type="dxa" w:w="3000"/>
          </w:tcPr>
          <w:p>
            <w:pPr>
              <w:spacing w:before="0" w:after="40"/>
              <w:jc w:val="left"/>
            </w:pPr>
            <w:r>
              <w:rPr>
                <w:rFonts w:ascii="Times New Roman" w:hAnsi="Times New Roman" w:eastAsia="Times New Roman" w:cs="Times New Roman"/>
                <w:b w:val="0"/>
                <w:i w:val="0"/>
                <w:caps w:val="0"/>
                <w:color w:val="000000"/>
                <w:sz w:val="24"/>
              </w:rPr>
              <w:t>173</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Số yêu cầu thay đổi được duyệt</w:t>
            </w:r>
          </w:p>
        </w:tc>
        <w:tc>
          <w:tcPr>
            <w:tcW w:type="dxa" w:w="30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tiêu đánh giá đạt</w:t>
            </w:r>
          </w:p>
        </w:tc>
        <w:tc>
          <w:tcPr>
            <w:tcW w:type="dxa" w:w="3000"/>
          </w:tcPr>
          <w:p>
            <w:pPr>
              <w:spacing w:before="0" w:after="40"/>
              <w:jc w:val="left"/>
            </w:pPr>
            <w:r>
              <w:rPr>
                <w:rFonts w:ascii="Times New Roman" w:hAnsi="Times New Roman" w:eastAsia="Times New Roman" w:cs="Times New Roman"/>
                <w:b w:val="0"/>
                <w:i w:val="0"/>
                <w:caps w:val="0"/>
                <w:color w:val="000000"/>
                <w:sz w:val="24"/>
              </w:rPr>
              <w:t>14</w:t>
            </w:r>
          </w:p>
        </w:tc>
        <w:tc>
          <w:tcPr>
            <w:tcW w:type="dxa" w:w="3000"/>
          </w:tcPr>
          <w:p>
            <w:pPr>
              <w:spacing w:before="0" w:after="40"/>
              <w:jc w:val="left"/>
            </w:pPr>
            <w:r>
              <w:rPr>
                <w:rFonts w:ascii="Times New Roman" w:hAnsi="Times New Roman" w:eastAsia="Times New Roman" w:cs="Times New Roman"/>
                <w:b w:val="0"/>
                <w:i w:val="0"/>
                <w:caps w:val="0"/>
                <w:color w:val="000000"/>
                <w:sz w:val="24"/>
              </w:rPr>
              <w:t>13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sinh từ kịch bản biến cố từng sprint theo kế hoạch đã duyệt,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Dự án xây dựng hệ thống website bán hàng trực tuyến cho Công ty Cổ phần ABC Wear đã hoàn thành mục tiêu theo HSMT và RFP. Hệ thống được đưa vào vận hành ngày 29/07/2027, đúng ngày cut over theo phụ lục hợp đồng, dự án đóng ngày 04/08/2027 tại mốc M8, số liệu được tổng hợp đến ngày 12/08/2027.</w:t>
      </w:r>
    </w:p>
    <w:p>
      <w:pPr>
        <w:spacing w:before="0" w:after="100" w:line="300" w:lineRule="auto"/>
        <w:jc w:val="both"/>
      </w:pPr>
      <w:r>
        <w:rPr>
          <w:rFonts w:ascii="Times New Roman" w:hAnsi="Times New Roman" w:eastAsia="Times New Roman" w:cs="Times New Roman"/>
          <w:b w:val="0"/>
          <w:i w:val="0"/>
          <w:caps w:val="0"/>
          <w:color w:val="000000"/>
          <w:sz w:val="26"/>
        </w:rPr>
        <w:t>Kế hoạch dùng để so sánh trong báo cáo là đường cơ sở BL2 sau phụ lục hợp đồng của yêu cầu thay đổi CR01. So với đường cơ sở hợp đồng BL1, ngày cut over đổi từ 01/07/2027 sang 29/07/2027 (lùi 20 ngày làm việc), giá hợp đồng trước thuế từ 1.750.000.000 đồng lên 1.949.024.682 đồng, khối lượng từ 657 MD lên 733 MD, hạn mốc thanh toán Đợt 3 đổi từ 17/06/2027 sang 08/07/2027.</w:t>
      </w:r>
    </w:p>
    <w:p>
      <w:pPr>
        <w:spacing w:before="0" w:after="100" w:line="300" w:lineRule="auto"/>
        <w:jc w:val="both"/>
      </w:pPr>
      <w:r>
        <w:rPr>
          <w:rFonts w:ascii="Times New Roman" w:hAnsi="Times New Roman" w:eastAsia="Times New Roman" w:cs="Times New Roman"/>
          <w:b w:val="0"/>
          <w:i w:val="0"/>
          <w:caps w:val="0"/>
          <w:color w:val="000000"/>
          <w:sz w:val="26"/>
        </w:rPr>
        <w:t>Về phạm vi, 173 trên 173 gói công việc hoàn thành. Về tiến độ, 10 trên 10 mốc đạt đúng hạn, SPI kỳ cuối 1,00. Về chi phí, công thực tế 736,75 MD so với kế hoạch 733 MD, CPI kỳ cuối 0,99. Về chất lượng, 22 trên 22 tiêu chí nghiệm thu đạt ngay lần đầu, không còn lỗi mở khi kết thúc.</w:t>
      </w:r>
    </w:p>
    <w:p>
      <w:pPr>
        <w:spacing w:before="0" w:after="100" w:line="300" w:lineRule="auto"/>
        <w:jc w:val="both"/>
      </w:pPr>
      <w:r>
        <w:rPr>
          <w:rFonts w:ascii="Times New Roman" w:hAnsi="Times New Roman" w:eastAsia="Times New Roman" w:cs="Times New Roman"/>
          <w:b w:val="0"/>
          <w:i w:val="0"/>
          <w:caps w:val="0"/>
          <w:color w:val="000000"/>
          <w:sz w:val="26"/>
        </w:rPr>
        <w:t>Dự án đạt 13 trên 14 chỉ tiêu KPI, xếp loại Tốt. Chỉ tiêu không đạt là K14 Tỷ lệ sử dụng nhân lực huy động (MD thực tế trên MD huy động) với 79,99%, do phải huy động bổ sung 13 MD ở S8, S9. Số liệu thực hiện của dự án là số liệu mô phỏng.</w:t>
      </w:r>
    </w:p>
    <w:p>
      <w:pPr>
        <w:pStyle w:val="Heading1"/>
        <w:keepNext/>
        <w:spacing w:before="240" w:after="120"/>
        <w:jc w:val="left"/>
      </w:pPr>
      <w:r>
        <w:rPr>
          <w:rFonts w:ascii="Times New Roman" w:hAnsi="Times New Roman" w:eastAsia="Times New Roman" w:cs="Times New Roman"/>
          <w:b w:val="0"/>
          <w:i w:val="0"/>
          <w:caps w:val="0"/>
          <w:color w:val="000000"/>
          <w:sz w:val="30"/>
        </w:rPr>
        <w:t>2. Phạm vi và sản phẩm bàn giao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700"/>
        <w:gridCol w:w="1300"/>
        <w:gridCol w:w="1000"/>
        <w:gridCol w:w="17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700"/>
          </w:tcPr>
          <w:p>
            <w:pPr>
              <w:spacing w:before="0" w:after="40"/>
              <w:jc w:val="left"/>
            </w:pPr>
            <w:r>
              <w:rPr>
                <w:rFonts w:ascii="Times New Roman" w:hAnsi="Times New Roman" w:eastAsia="Times New Roman" w:cs="Times New Roman"/>
                <w:b w:val="0"/>
                <w:i w:val="0"/>
                <w:caps w:val="0"/>
                <w:color w:val="000000"/>
                <w:sz w:val="24"/>
              </w:rPr>
              <w:t>Hạng mục theo Mẫu 01A</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tiêu chí</w:t>
            </w:r>
          </w:p>
        </w:tc>
        <w:tc>
          <w:tcPr>
            <w:tcW w:type="dxa" w:w="1000"/>
          </w:tcPr>
          <w:p>
            <w:pPr>
              <w:spacing w:before="0" w:after="40"/>
              <w:jc w:val="center"/>
            </w:pPr>
            <w:r>
              <w:rPr>
                <w:rFonts w:ascii="Times New Roman" w:hAnsi="Times New Roman" w:eastAsia="Times New Roman" w:cs="Times New Roman"/>
                <w:b w:val="0"/>
                <w:i w:val="0"/>
                <w:caps w:val="0"/>
                <w:color w:val="000000"/>
                <w:sz w:val="24"/>
              </w:rPr>
              <w:t>Đạt</w:t>
            </w:r>
          </w:p>
        </w:tc>
        <w:tc>
          <w:tcPr>
            <w:tcW w:type="dxa" w:w="17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7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47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47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7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7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7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CR01</w:t>
            </w:r>
          </w:p>
        </w:tc>
        <w:tc>
          <w:tcPr>
            <w:tcW w:type="dxa" w:w="4700"/>
          </w:tcPr>
          <w:p>
            <w:pPr>
              <w:spacing w:before="0" w:after="40"/>
              <w:jc w:val="left"/>
            </w:pPr>
            <w:r>
              <w:rPr>
                <w:rFonts w:ascii="Times New Roman" w:hAnsi="Times New Roman" w:eastAsia="Times New Roman" w:cs="Times New Roman"/>
                <w:b w:val="0"/>
                <w:i w:val="0"/>
                <w:caps w:val="0"/>
                <w:color w:val="000000"/>
                <w:sz w:val="24"/>
              </w:rPr>
              <w:t>Phạm vi bổ sung theo phụ lục hợp đồng (CR01 Bán hàng trên sàn thương mại điện tử)</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Toàn bộ 173 gói công việc lá đã hoàn thành.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4400"/>
        <w:gridCol w:w="1300"/>
        <w:gridCol w:w="1300"/>
        <w:gridCol w:w="14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Mã</w:t>
            </w:r>
          </w:p>
        </w:tc>
        <w:tc>
          <w:tcPr>
            <w:tcW w:type="dxa" w:w="4400"/>
          </w:tcPr>
          <w:p>
            <w:pPr>
              <w:spacing w:before="0" w:after="40"/>
              <w:jc w:val="left"/>
            </w:pPr>
            <w:r>
              <w:rPr>
                <w:rFonts w:ascii="Times New Roman" w:hAnsi="Times New Roman" w:eastAsia="Times New Roman" w:cs="Times New Roman"/>
                <w:b w:val="0"/>
                <w:i w:val="0"/>
                <w:caps w:val="0"/>
                <w:color w:val="000000"/>
                <w:sz w:val="24"/>
              </w:rPr>
              <w:t>Gói vượt công sức trên 20%</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400"/>
          </w:tcPr>
          <w:p>
            <w:pPr>
              <w:spacing w:before="0" w:after="40"/>
              <w:jc w:val="right"/>
            </w:pPr>
            <w:r>
              <w:rPr>
                <w:rFonts w:ascii="Times New Roman" w:hAnsi="Times New Roman" w:eastAsia="Times New Roman" w:cs="Times New Roman"/>
                <w:b w:val="0"/>
                <w:i w:val="0"/>
                <w:caps w:val="0"/>
                <w:color w:val="000000"/>
                <w:sz w:val="24"/>
              </w:rPr>
              <w:t>Chênh lệch</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3.3.7</w:t>
            </w:r>
          </w:p>
        </w:tc>
        <w:tc>
          <w:tcPr>
            <w:tcW w:type="dxa" w:w="44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1300"/>
          </w:tcPr>
          <w:p>
            <w:pPr>
              <w:spacing w:before="0" w:after="40"/>
              <w:jc w:val="right"/>
            </w:pPr>
            <w:r>
              <w:rPr>
                <w:rFonts w:ascii="Times New Roman" w:hAnsi="Times New Roman" w:eastAsia="Times New Roman" w:cs="Times New Roman"/>
                <w:b w:val="0"/>
                <w:i w:val="0"/>
                <w:caps w:val="0"/>
                <w:color w:val="000000"/>
                <w:sz w:val="24"/>
              </w:rPr>
              <w:t>6</w:t>
            </w:r>
          </w:p>
        </w:tc>
        <w:tc>
          <w:tcPr>
            <w:tcW w:type="dxa" w:w="1300"/>
          </w:tcPr>
          <w:p>
            <w:pPr>
              <w:spacing w:before="0" w:after="40"/>
              <w:jc w:val="right"/>
            </w:pPr>
            <w:r>
              <w:rPr>
                <w:rFonts w:ascii="Times New Roman" w:hAnsi="Times New Roman" w:eastAsia="Times New Roman" w:cs="Times New Roman"/>
                <w:b w:val="0"/>
                <w:i w:val="0"/>
                <w:caps w:val="0"/>
                <w:color w:val="000000"/>
                <w:sz w:val="24"/>
              </w:rPr>
              <w:t>7,25</w:t>
            </w:r>
          </w:p>
        </w:tc>
        <w:tc>
          <w:tcPr>
            <w:tcW w:type="dxa" w:w="1400"/>
          </w:tcPr>
          <w:p>
            <w:pPr>
              <w:spacing w:before="0" w:after="40"/>
              <w:jc w:val="right"/>
            </w:pPr>
            <w:r>
              <w:rPr>
                <w:rFonts w:ascii="Times New Roman" w:hAnsi="Times New Roman" w:eastAsia="Times New Roman" w:cs="Times New Roman"/>
                <w:b w:val="0"/>
                <w:i w:val="0"/>
                <w:caps w:val="0"/>
                <w:color w:val="000000"/>
                <w:sz w:val="24"/>
              </w:rPr>
              <w:t>20,8%</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1.4.6</w:t>
            </w:r>
          </w:p>
        </w:tc>
        <w:tc>
          <w:tcPr>
            <w:tcW w:type="dxa" w:w="44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1300"/>
          </w:tcPr>
          <w:p>
            <w:pPr>
              <w:spacing w:before="0" w:after="40"/>
              <w:jc w:val="right"/>
            </w:pPr>
            <w:r>
              <w:rPr>
                <w:rFonts w:ascii="Times New Roman" w:hAnsi="Times New Roman" w:eastAsia="Times New Roman" w:cs="Times New Roman"/>
                <w:b w:val="0"/>
                <w:i w:val="0"/>
                <w:caps w:val="0"/>
                <w:color w:val="000000"/>
                <w:sz w:val="24"/>
              </w:rPr>
              <w:t>3</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400"/>
          </w:tcPr>
          <w:p>
            <w:pPr>
              <w:spacing w:before="0" w:after="40"/>
              <w:jc w:val="right"/>
            </w:pPr>
            <w:r>
              <w:rPr>
                <w:rFonts w:ascii="Times New Roman" w:hAnsi="Times New Roman" w:eastAsia="Times New Roman" w:cs="Times New Roman"/>
                <w:b w:val="0"/>
                <w:i w:val="0"/>
                <w:caps w:val="0"/>
                <w:color w:val="000000"/>
                <w:sz w:val="24"/>
              </w:rPr>
              <w:t>33,3%</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3.2.3</w:t>
            </w:r>
          </w:p>
        </w:tc>
        <w:tc>
          <w:tcPr>
            <w:tcW w:type="dxa" w:w="44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1300"/>
          </w:tcPr>
          <w:p>
            <w:pPr>
              <w:spacing w:before="0" w:after="40"/>
              <w:jc w:val="right"/>
            </w:pPr>
            <w:r>
              <w:rPr>
                <w:rFonts w:ascii="Times New Roman" w:hAnsi="Times New Roman" w:eastAsia="Times New Roman" w:cs="Times New Roman"/>
                <w:b w:val="0"/>
                <w:i w:val="0"/>
                <w:caps w:val="0"/>
                <w:color w:val="000000"/>
                <w:sz w:val="24"/>
              </w:rPr>
              <w:t>4</w:t>
            </w:r>
          </w:p>
        </w:tc>
        <w:tc>
          <w:tcPr>
            <w:tcW w:type="dxa" w:w="1300"/>
          </w:tcPr>
          <w:p>
            <w:pPr>
              <w:spacing w:before="0" w:after="40"/>
              <w:jc w:val="right"/>
            </w:pPr>
            <w:r>
              <w:rPr>
                <w:rFonts w:ascii="Times New Roman" w:hAnsi="Times New Roman" w:eastAsia="Times New Roman" w:cs="Times New Roman"/>
                <w:b w:val="0"/>
                <w:i w:val="0"/>
                <w:caps w:val="0"/>
                <w:color w:val="000000"/>
                <w:sz w:val="24"/>
              </w:rPr>
              <w:t>5,00</w:t>
            </w:r>
          </w:p>
        </w:tc>
        <w:tc>
          <w:tcPr>
            <w:tcW w:type="dxa" w:w="1400"/>
          </w:tcPr>
          <w:p>
            <w:pPr>
              <w:spacing w:before="0" w:after="40"/>
              <w:jc w:val="right"/>
            </w:pPr>
            <w:r>
              <w:rPr>
                <w:rFonts w:ascii="Times New Roman" w:hAnsi="Times New Roman" w:eastAsia="Times New Roman" w:cs="Times New Roman"/>
                <w:b w:val="0"/>
                <w:i w:val="0"/>
                <w:caps w:val="0"/>
                <w:color w:val="000000"/>
                <w:sz w:val="24"/>
              </w:rPr>
              <w:t>25,0%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4.2.5</w:t>
            </w:r>
          </w:p>
        </w:tc>
        <w:tc>
          <w:tcPr>
            <w:tcW w:type="dxa" w:w="44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1300"/>
          </w:tcPr>
          <w:p>
            <w:pPr>
              <w:spacing w:before="0" w:after="40"/>
              <w:jc w:val="right"/>
            </w:pPr>
            <w:r>
              <w:rPr>
                <w:rFonts w:ascii="Times New Roman" w:hAnsi="Times New Roman" w:eastAsia="Times New Roman" w:cs="Times New Roman"/>
                <w:b w:val="0"/>
                <w:i w:val="0"/>
                <w:caps w:val="0"/>
                <w:color w:val="000000"/>
                <w:sz w:val="24"/>
              </w:rPr>
              <w:t>4</w:t>
            </w:r>
          </w:p>
        </w:tc>
        <w:tc>
          <w:tcPr>
            <w:tcW w:type="dxa" w:w="1300"/>
          </w:tcPr>
          <w:p>
            <w:pPr>
              <w:spacing w:before="0" w:after="40"/>
              <w:jc w:val="right"/>
            </w:pPr>
            <w:r>
              <w:rPr>
                <w:rFonts w:ascii="Times New Roman" w:hAnsi="Times New Roman" w:eastAsia="Times New Roman" w:cs="Times New Roman"/>
                <w:b w:val="0"/>
                <w:i w:val="0"/>
                <w:caps w:val="0"/>
                <w:color w:val="000000"/>
                <w:sz w:val="24"/>
              </w:rPr>
              <w:t>5,00</w:t>
            </w:r>
          </w:p>
        </w:tc>
        <w:tc>
          <w:tcPr>
            <w:tcW w:type="dxa" w:w="1400"/>
          </w:tcPr>
          <w:p>
            <w:pPr>
              <w:spacing w:before="0" w:after="40"/>
              <w:jc w:val="right"/>
            </w:pPr>
            <w:r>
              <w:rPr>
                <w:rFonts w:ascii="Times New Roman" w:hAnsi="Times New Roman" w:eastAsia="Times New Roman" w:cs="Times New Roman"/>
                <w:b w:val="0"/>
                <w:i w:val="0"/>
                <w:caps w:val="0"/>
                <w:color w:val="000000"/>
                <w:sz w:val="24"/>
              </w:rPr>
              <w:t>25,0%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sản phẩm theo RFP gồm đặc tả hệ thống, quy trình vận hành mới, cấu trúc cơ sở dữ liệu Selling DB và sơ đồ phân cấp menu đã được bàn giao và nghiệm thu, 16 trên 16 yêu cầu RFP thuộc phạm vi nghiệm thu đạt. Cả 13 hạng mục của Mẫu 01A đều có tiêu chí nghiệm thu đạt, trong đó hạng mục chuyển giao và hướng dẫn vận hành được nghiệm thu tại mốc M7 (NT21).</w:t>
      </w:r>
    </w:p>
    <w:p>
      <w:pPr>
        <w:spacing w:before="0" w:after="100" w:line="300" w:lineRule="auto"/>
        <w:jc w:val="both"/>
      </w:pPr>
      <w:r>
        <w:rPr>
          <w:rFonts w:ascii="Times New Roman" w:hAnsi="Times New Roman" w:eastAsia="Times New Roman" w:cs="Times New Roman"/>
          <w:b w:val="0"/>
          <w:i w:val="0"/>
          <w:caps w:val="0"/>
          <w:color w:val="000000"/>
          <w:sz w:val="26"/>
        </w:rPr>
        <w:t>Phạm vi thay đổi duy nhất là yêu cầu thay đổi CR01 Bán hàng trên sàn thương mại điện tử do Chủ đầu tư đề nghị, tăng 76 MD, được phê duyệt bằng phụ lục hợp đồng 01/2027/PL-ABCW và nghiệm thu tại mốc M9 theo các tiêu chí NT19, NT20, trình bày dòng riêng trong bảng hạng mục, không tính vào hạng mục của Mẫu 01A. Một số gói vượt công trên 20% so với kế hoạch, như dịch vụ đổi trả và hoàn tiền 3.3.7, do đặc tả có trường hợp nghiệp vụ phức tạp hơn ước lượng, không làm thay đổi phạm vi.</w:t>
      </w:r>
    </w:p>
    <w:p>
      <w:pPr>
        <w:pStyle w:val="Heading1"/>
        <w:keepNext/>
        <w:spacing w:before="240" w:after="120"/>
        <w:jc w:val="left"/>
      </w:pPr>
      <w:r>
        <w:rPr>
          <w:rFonts w:ascii="Times New Roman" w:hAnsi="Times New Roman" w:eastAsia="Times New Roman" w:cs="Times New Roman"/>
          <w:b w:val="0"/>
          <w:i w:val="0"/>
          <w:caps w:val="0"/>
          <w:color w:val="000000"/>
          <w:sz w:val="30"/>
        </w:rPr>
        <w:t>3. Tiến độ</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1200"/>
        <w:gridCol w:w="1200"/>
        <w:gridCol w:w="1200"/>
        <w:gridCol w:w="1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1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Kết quả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1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1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1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1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1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1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1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Kết quả mốc so với hạn của mốc (mốc cut over so với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0,95</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S9</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734,75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KT</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736,75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SPI duy trì ở mức Xanh trong phần lớn các kỳ, giảm xuống mức Vàng ở các kỳ S3, S4 do chuỗi thiết kế chi tiết hoàn thành muộn và tài liệu Main System đến muộn (rủi ro RR02), sau đó phục hồi nhờ làm bù bằng quỹ sẵn sàng và huy động bổ sung theo nhu cầu ở S8, S9. SPI kỳ cuối đạt 1,00.</w:t>
      </w:r>
    </w:p>
    <w:p>
      <w:pPr>
        <w:spacing w:before="0" w:after="100" w:line="300" w:lineRule="auto"/>
        <w:jc w:val="both"/>
      </w:pPr>
      <w:r>
        <w:rPr>
          <w:rFonts w:ascii="Times New Roman" w:hAnsi="Times New Roman" w:eastAsia="Times New Roman" w:cs="Times New Roman"/>
          <w:b w:val="0"/>
          <w:i w:val="0"/>
          <w:caps w:val="0"/>
          <w:color w:val="000000"/>
          <w:sz w:val="26"/>
        </w:rPr>
        <w:t>Mọi mốc đạt trong hạn của đường cơ sở BL2, mốc kiểm thử hệ thống M4 đạt sau ngày dự kiến do khắc phục lỗi kiểm thử hệ thống. Ngày đưa vào vận hành 29/07/2027 trùng ngày cut over 29/07/2027 theo phụ lục, số ngày trễ là 0. Mốc đóng dự án M8 có ngày kế hoạch 04/08/2027 và đạt ngày 04/08/2027.</w:t>
      </w:r>
    </w:p>
    <w:p>
      <w:pPr>
        <w:pStyle w:val="Heading1"/>
        <w:keepNext/>
        <w:spacing w:before="240" w:after="120"/>
        <w:jc w:val="left"/>
      </w:pPr>
      <w:r>
        <w:rPr>
          <w:rFonts w:ascii="Times New Roman" w:hAnsi="Times New Roman" w:eastAsia="Times New Roman" w:cs="Times New Roman"/>
          <w:b w:val="0"/>
          <w:i w:val="0"/>
          <w:caps w:val="0"/>
          <w:color w:val="000000"/>
          <w:sz w:val="30"/>
        </w:rPr>
        <w:t>4. Chi phí và nguồn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700"/>
        <w:gridCol w:w="1900"/>
        <w:gridCol w:w="1900"/>
        <w:gridCol w:w="1800"/>
      </w:tblGrid>
      <w:tr>
        <w:trPr>
          <w:tblHeader w:val="true"/>
        </w:trPr>
        <w:tc>
          <w:tcPr>
            <w:tcW w:type="dxa" w:w="37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1900"/>
          </w:tcPr>
          <w:p>
            <w:pPr>
              <w:spacing w:before="0" w:after="40"/>
              <w:jc w:val="right"/>
            </w:pPr>
            <w:r>
              <w:rPr>
                <w:rFonts w:ascii="Times New Roman" w:hAnsi="Times New Roman" w:eastAsia="Times New Roman" w:cs="Times New Roman"/>
                <w:b w:val="0"/>
                <w:i w:val="0"/>
                <w:caps w:val="0"/>
                <w:color w:val="000000"/>
                <w:sz w:val="24"/>
              </w:rPr>
              <w:t>Kế hoạch, đồng</w:t>
            </w:r>
          </w:p>
        </w:tc>
        <w:tc>
          <w:tcPr>
            <w:tcW w:type="dxa" w:w="1900"/>
          </w:tcPr>
          <w:p>
            <w:pPr>
              <w:spacing w:before="0" w:after="40"/>
              <w:jc w:val="right"/>
            </w:pPr>
            <w:r>
              <w:rPr>
                <w:rFonts w:ascii="Times New Roman" w:hAnsi="Times New Roman" w:eastAsia="Times New Roman" w:cs="Times New Roman"/>
                <w:b w:val="0"/>
                <w:i w:val="0"/>
                <w:caps w:val="0"/>
                <w:color w:val="000000"/>
                <w:sz w:val="24"/>
              </w:rPr>
              <w:t>Thực tế, đồng</w:t>
            </w:r>
          </w:p>
        </w:tc>
        <w:tc>
          <w:tcPr>
            <w:tcW w:type="dxa" w:w="1800"/>
          </w:tcPr>
          <w:p>
            <w:pPr>
              <w:spacing w:before="0" w:after="40"/>
              <w:jc w:val="right"/>
            </w:pPr>
            <w:r>
              <w:rPr>
                <w:rFonts w:ascii="Times New Roman" w:hAnsi="Times New Roman" w:eastAsia="Times New Roman" w:cs="Times New Roman"/>
                <w:b w:val="0"/>
                <w:i w:val="0"/>
                <w:caps w:val="0"/>
                <w:color w:val="000000"/>
                <w:sz w:val="24"/>
              </w:rPr>
              <w:t>Chênh lệch, đồng</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Chi phí nhân sự theo MD công việc (lương ngày vai trò x hệ số bảo hiểm x MD)</w:t>
            </w:r>
          </w:p>
        </w:tc>
        <w:tc>
          <w:tcPr>
            <w:tcW w:type="dxa" w:w="1900"/>
          </w:tcPr>
          <w:p>
            <w:pPr>
              <w:spacing w:before="0" w:after="40"/>
              <w:jc w:val="right"/>
            </w:pPr>
            <w:r>
              <w:rPr>
                <w:rFonts w:ascii="Times New Roman" w:hAnsi="Times New Roman" w:eastAsia="Times New Roman" w:cs="Times New Roman"/>
                <w:b w:val="0"/>
                <w:i w:val="0"/>
                <w:caps w:val="0"/>
                <w:color w:val="000000"/>
                <w:sz w:val="24"/>
              </w:rPr>
              <w:t>1.327.839.441</w:t>
            </w:r>
          </w:p>
        </w:tc>
        <w:tc>
          <w:tcPr>
            <w:tcW w:type="dxa" w:w="1900"/>
          </w:tcPr>
          <w:p>
            <w:pPr>
              <w:spacing w:before="0" w:after="40"/>
              <w:jc w:val="right"/>
            </w:pPr>
            <w:r>
              <w:rPr>
                <w:rFonts w:ascii="Times New Roman" w:hAnsi="Times New Roman" w:eastAsia="Times New Roman" w:cs="Times New Roman"/>
                <w:b w:val="0"/>
                <w:i w:val="0"/>
                <w:caps w:val="0"/>
                <w:color w:val="000000"/>
                <w:sz w:val="24"/>
              </w:rPr>
              <w:t>1.336.368.239</w:t>
            </w:r>
          </w:p>
        </w:tc>
        <w:tc>
          <w:tcPr>
            <w:tcW w:type="dxa" w:w="1800"/>
          </w:tcPr>
          <w:p>
            <w:pPr>
              <w:spacing w:before="0" w:after="40"/>
              <w:jc w:val="right"/>
            </w:pPr>
            <w:r>
              <w:rPr>
                <w:rFonts w:ascii="Times New Roman" w:hAnsi="Times New Roman" w:eastAsia="Times New Roman" w:cs="Times New Roman"/>
                <w:b w:val="0"/>
                <w:i w:val="0"/>
                <w:caps w:val="0"/>
                <w:color w:val="000000"/>
                <w:sz w:val="24"/>
              </w:rPr>
              <w:t>8.528.798</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Ngày sẵn sàng không ghi công (175 MD kế hoạch, 184,25 MD thực tế), không tính lương</w:t>
            </w:r>
          </w:p>
        </w:tc>
        <w:tc>
          <w:tcPr>
            <w:tcW w:type="dxa" w:w="1900"/>
          </w:tcPr>
          <w:p>
            <w:pPr>
              <w:spacing w:before="0" w:after="40"/>
              <w:jc w:val="right"/>
            </w:pPr>
            <w:r>
              <w:rPr>
                <w:rFonts w:ascii="Times New Roman" w:hAnsi="Times New Roman" w:eastAsia="Times New Roman" w:cs="Times New Roman"/>
                <w:b w:val="0"/>
                <w:i w:val="0"/>
                <w:caps w:val="0"/>
                <w:color w:val="000000"/>
                <w:sz w:val="24"/>
              </w:rPr>
              <w:t>0</w:t>
            </w:r>
          </w:p>
        </w:tc>
        <w:tc>
          <w:tcPr>
            <w:tcW w:type="dxa" w:w="1900"/>
          </w:tcPr>
          <w:p>
            <w:pPr>
              <w:spacing w:before="0" w:after="40"/>
              <w:jc w:val="right"/>
            </w:pPr>
            <w:r>
              <w:rPr>
                <w:rFonts w:ascii="Times New Roman" w:hAnsi="Times New Roman" w:eastAsia="Times New Roman" w:cs="Times New Roman"/>
                <w:b w:val="0"/>
                <w:i w:val="0"/>
                <w:caps w:val="0"/>
                <w:color w:val="000000"/>
                <w:sz w:val="24"/>
              </w:rPr>
              <w:t>0</w:t>
            </w:r>
          </w:p>
        </w:tc>
        <w:tc>
          <w:tcPr>
            <w:tcW w:type="dxa" w:w="18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Chi phí khác đã chi (khoản B, không gồm dự phòng rủi ro)</w:t>
            </w:r>
          </w:p>
        </w:tc>
        <w:tc>
          <w:tcPr>
            <w:tcW w:type="dxa" w:w="1900"/>
          </w:tcPr>
          <w:p>
            <w:pPr>
              <w:spacing w:before="0" w:after="40"/>
              <w:jc w:val="right"/>
            </w:pPr>
            <w:r>
              <w:rPr>
                <w:rFonts w:ascii="Times New Roman" w:hAnsi="Times New Roman" w:eastAsia="Times New Roman" w:cs="Times New Roman"/>
                <w:b w:val="0"/>
                <w:i w:val="0"/>
                <w:caps w:val="0"/>
                <w:color w:val="000000"/>
                <w:sz w:val="24"/>
              </w:rPr>
              <w:t>100.000.000</w:t>
            </w:r>
          </w:p>
        </w:tc>
        <w:tc>
          <w:tcPr>
            <w:tcW w:type="dxa" w:w="1900"/>
          </w:tcPr>
          <w:p>
            <w:pPr>
              <w:spacing w:before="0" w:after="40"/>
              <w:jc w:val="right"/>
            </w:pPr>
            <w:r>
              <w:rPr>
                <w:rFonts w:ascii="Times New Roman" w:hAnsi="Times New Roman" w:eastAsia="Times New Roman" w:cs="Times New Roman"/>
                <w:b w:val="0"/>
                <w:i w:val="0"/>
                <w:caps w:val="0"/>
                <w:color w:val="000000"/>
                <w:sz w:val="24"/>
              </w:rPr>
              <w:t>60.000.000</w:t>
            </w:r>
          </w:p>
        </w:tc>
        <w:tc>
          <w:tcPr>
            <w:tcW w:type="dxa" w:w="1800"/>
          </w:tcPr>
          <w:p>
            <w:pPr>
              <w:spacing w:before="0" w:after="40"/>
              <w:jc w:val="right"/>
            </w:pPr>
            <w:r>
              <w:rPr>
                <w:rFonts w:ascii="Times New Roman" w:hAnsi="Times New Roman" w:eastAsia="Times New Roman" w:cs="Times New Roman"/>
                <w:b w:val="0"/>
                <w:i w:val="0"/>
                <w:caps w:val="0"/>
                <w:color w:val="000000"/>
                <w:sz w:val="24"/>
              </w:rPr>
              <w:t>âm 40.000.000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Dự phòng rủi ro (tác động thực tế ở mục 6)</w:t>
            </w:r>
          </w:p>
        </w:tc>
        <w:tc>
          <w:tcPr>
            <w:tcW w:type="dxa" w:w="1900"/>
          </w:tcPr>
          <w:p>
            <w:pPr>
              <w:spacing w:before="0" w:after="40"/>
              <w:jc w:val="right"/>
            </w:pPr>
            <w:r>
              <w:rPr>
                <w:rFonts w:ascii="Times New Roman" w:hAnsi="Times New Roman" w:eastAsia="Times New Roman" w:cs="Times New Roman"/>
                <w:b w:val="0"/>
                <w:i w:val="0"/>
                <w:caps w:val="0"/>
                <w:color w:val="000000"/>
                <w:sz w:val="24"/>
              </w:rPr>
              <w:t>50.000.000</w:t>
            </w:r>
          </w:p>
        </w:tc>
        <w:tc>
          <w:tcPr>
            <w:tcW w:type="dxa" w:w="1900"/>
          </w:tcPr>
          <w:p>
            <w:pPr>
              <w:spacing w:before="0" w:after="40"/>
              <w:jc w:val="right"/>
            </w:pPr>
            <w:r>
              <w:rPr>
                <w:rFonts w:ascii="Times New Roman" w:hAnsi="Times New Roman" w:eastAsia="Times New Roman" w:cs="Times New Roman"/>
                <w:b w:val="0"/>
                <w:i w:val="0"/>
                <w:caps w:val="0"/>
                <w:color w:val="000000"/>
                <w:sz w:val="24"/>
              </w:rPr>
            </w:r>
          </w:p>
        </w:tc>
        <w:tc>
          <w:tcPr>
            <w:tcW w:type="dxa" w:w="1800"/>
          </w:tcPr>
          <w:p>
            <w:pPr>
              <w:spacing w:before="0" w:after="40"/>
              <w:jc w:val="right"/>
            </w:pPr>
            <w:r>
              <w:rPr>
                <w:rFonts w:ascii="Times New Roman" w:hAnsi="Times New Roman" w:eastAsia="Times New Roman" w:cs="Times New Roman"/>
                <w:b w:val="0"/>
                <w:i w:val="0"/>
                <w:caps w:val="0"/>
                <w:color w:val="000000"/>
                <w:sz w:val="24"/>
              </w:rPr>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Nghĩa vụ đã cam kết chưa chi (bảo hành)</w:t>
            </w:r>
          </w:p>
        </w:tc>
        <w:tc>
          <w:tcPr>
            <w:tcW w:type="dxa" w:w="1900"/>
          </w:tcPr>
          <w:p>
            <w:pPr>
              <w:spacing w:before="0" w:after="40"/>
              <w:jc w:val="right"/>
            </w:pPr>
            <w:r>
              <w:rPr>
                <w:rFonts w:ascii="Times New Roman" w:hAnsi="Times New Roman" w:eastAsia="Times New Roman" w:cs="Times New Roman"/>
                <w:b w:val="0"/>
                <w:i w:val="0"/>
                <w:caps w:val="0"/>
                <w:color w:val="000000"/>
                <w:sz w:val="24"/>
              </w:rPr>
            </w:r>
          </w:p>
        </w:tc>
        <w:tc>
          <w:tcPr>
            <w:tcW w:type="dxa" w:w="1900"/>
          </w:tcPr>
          <w:p>
            <w:pPr>
              <w:spacing w:before="0" w:after="40"/>
              <w:jc w:val="right"/>
            </w:pPr>
            <w:r>
              <w:rPr>
                <w:rFonts w:ascii="Times New Roman" w:hAnsi="Times New Roman" w:eastAsia="Times New Roman" w:cs="Times New Roman"/>
                <w:b w:val="0"/>
                <w:i w:val="0"/>
                <w:caps w:val="0"/>
                <w:color w:val="000000"/>
                <w:sz w:val="24"/>
              </w:rPr>
              <w:t>40.000.000</w:t>
            </w:r>
          </w:p>
        </w:tc>
        <w:tc>
          <w:tcPr>
            <w:tcW w:type="dxa" w:w="1800"/>
          </w:tcPr>
          <w:p>
            <w:pPr>
              <w:spacing w:before="0" w:after="40"/>
              <w:jc w:val="right"/>
            </w:pPr>
            <w:r>
              <w:rPr>
                <w:rFonts w:ascii="Times New Roman" w:hAnsi="Times New Roman" w:eastAsia="Times New Roman" w:cs="Times New Roman"/>
                <w:b w:val="0"/>
                <w:i w:val="0"/>
                <w:caps w:val="0"/>
                <w:color w:val="000000"/>
                <w:sz w:val="24"/>
              </w:rPr>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Tổng chi phí</w:t>
            </w:r>
          </w:p>
        </w:tc>
        <w:tc>
          <w:tcPr>
            <w:tcW w:type="dxa" w:w="1900"/>
          </w:tcPr>
          <w:p>
            <w:pPr>
              <w:spacing w:before="0" w:after="40"/>
              <w:jc w:val="right"/>
            </w:pPr>
            <w:r>
              <w:rPr>
                <w:rFonts w:ascii="Times New Roman" w:hAnsi="Times New Roman" w:eastAsia="Times New Roman" w:cs="Times New Roman"/>
                <w:b w:val="0"/>
                <w:i w:val="0"/>
                <w:caps w:val="0"/>
                <w:color w:val="000000"/>
                <w:sz w:val="24"/>
              </w:rPr>
              <w:t>1.477.839.441</w:t>
            </w:r>
          </w:p>
        </w:tc>
        <w:tc>
          <w:tcPr>
            <w:tcW w:type="dxa" w:w="1900"/>
          </w:tcPr>
          <w:p>
            <w:pPr>
              <w:spacing w:before="0" w:after="40"/>
              <w:jc w:val="right"/>
            </w:pPr>
            <w:r>
              <w:rPr>
                <w:rFonts w:ascii="Times New Roman" w:hAnsi="Times New Roman" w:eastAsia="Times New Roman" w:cs="Times New Roman"/>
                <w:b w:val="0"/>
                <w:i w:val="0"/>
                <w:caps w:val="0"/>
                <w:color w:val="000000"/>
                <w:sz w:val="24"/>
              </w:rPr>
              <w:t>1.436.368.239</w:t>
            </w:r>
          </w:p>
        </w:tc>
        <w:tc>
          <w:tcPr>
            <w:tcW w:type="dxa" w:w="1800"/>
          </w:tcPr>
          <w:p>
            <w:pPr>
              <w:spacing w:before="0" w:after="40"/>
              <w:jc w:val="right"/>
            </w:pPr>
            <w:r>
              <w:rPr>
                <w:rFonts w:ascii="Times New Roman" w:hAnsi="Times New Roman" w:eastAsia="Times New Roman" w:cs="Times New Roman"/>
                <w:b w:val="0"/>
                <w:i w:val="0"/>
                <w:caps w:val="0"/>
                <w:color w:val="000000"/>
                <w:sz w:val="24"/>
              </w:rPr>
              <w:t>âm 41.471.202</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Giá hợp đồng trước thuế</w:t>
            </w:r>
          </w:p>
        </w:tc>
        <w:tc>
          <w:tcPr>
            <w:tcW w:type="dxa" w:w="1900"/>
          </w:tcPr>
          <w:p>
            <w:pPr>
              <w:spacing w:before="0" w:after="40"/>
              <w:jc w:val="right"/>
            </w:pPr>
            <w:r>
              <w:rPr>
                <w:rFonts w:ascii="Times New Roman" w:hAnsi="Times New Roman" w:eastAsia="Times New Roman" w:cs="Times New Roman"/>
                <w:b w:val="0"/>
                <w:i w:val="0"/>
                <w:caps w:val="0"/>
                <w:color w:val="000000"/>
                <w:sz w:val="24"/>
              </w:rPr>
              <w:t>1.949.024.682</w:t>
            </w:r>
          </w:p>
        </w:tc>
        <w:tc>
          <w:tcPr>
            <w:tcW w:type="dxa" w:w="1900"/>
          </w:tcPr>
          <w:p>
            <w:pPr>
              <w:spacing w:before="0" w:after="40"/>
              <w:jc w:val="right"/>
            </w:pPr>
            <w:r>
              <w:rPr>
                <w:rFonts w:ascii="Times New Roman" w:hAnsi="Times New Roman" w:eastAsia="Times New Roman" w:cs="Times New Roman"/>
                <w:b w:val="0"/>
                <w:i w:val="0"/>
                <w:caps w:val="0"/>
                <w:color w:val="000000"/>
                <w:sz w:val="24"/>
              </w:rPr>
              <w:t>1.949.024.682</w:t>
            </w:r>
          </w:p>
        </w:tc>
        <w:tc>
          <w:tcPr>
            <w:tcW w:type="dxa" w:w="18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Chênh lệch giá hợp đồng và chi phí</w:t>
            </w:r>
          </w:p>
        </w:tc>
        <w:tc>
          <w:tcPr>
            <w:tcW w:type="dxa" w:w="1900"/>
          </w:tcPr>
          <w:p>
            <w:pPr>
              <w:spacing w:before="0" w:after="40"/>
              <w:jc w:val="right"/>
            </w:pPr>
            <w:r>
              <w:rPr>
                <w:rFonts w:ascii="Times New Roman" w:hAnsi="Times New Roman" w:eastAsia="Times New Roman" w:cs="Times New Roman"/>
                <w:b w:val="0"/>
                <w:i w:val="0"/>
                <w:caps w:val="0"/>
                <w:color w:val="000000"/>
                <w:sz w:val="24"/>
              </w:rPr>
              <w:t>471.185.241</w:t>
            </w:r>
          </w:p>
        </w:tc>
        <w:tc>
          <w:tcPr>
            <w:tcW w:type="dxa" w:w="1900"/>
          </w:tcPr>
          <w:p>
            <w:pPr>
              <w:spacing w:before="0" w:after="40"/>
              <w:jc w:val="right"/>
            </w:pPr>
            <w:r>
              <w:rPr>
                <w:rFonts w:ascii="Times New Roman" w:hAnsi="Times New Roman" w:eastAsia="Times New Roman" w:cs="Times New Roman"/>
                <w:b w:val="0"/>
                <w:i w:val="0"/>
                <w:caps w:val="0"/>
                <w:color w:val="000000"/>
                <w:sz w:val="24"/>
              </w:rPr>
              <w:t>512.656.443</w:t>
            </w:r>
          </w:p>
        </w:tc>
        <w:tc>
          <w:tcPr>
            <w:tcW w:type="dxa" w:w="1800"/>
          </w:tcPr>
          <w:p>
            <w:pPr>
              <w:spacing w:before="0" w:after="40"/>
              <w:jc w:val="right"/>
            </w:pPr>
            <w:r>
              <w:rPr>
                <w:rFonts w:ascii="Times New Roman" w:hAnsi="Times New Roman" w:eastAsia="Times New Roman" w:cs="Times New Roman"/>
                <w:b w:val="0"/>
                <w:i w:val="0"/>
                <w:caps w:val="0"/>
                <w:color w:val="000000"/>
                <w:sz w:val="24"/>
              </w:rPr>
              <w:t>41.471.202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nhân sự tính theo cách trả lương nhóm khai báo (trả theo công sức (MD công việc)), MD tính lương là MD công việc (kế hoạch là MD giao, thực tế là MD nhật ký), cùng cơ sở với cost estimate, tính đến ngày 12/08/2027. Ngày sẵn sàng không ghi công là ngày huy động trừ MD ghi trong nhật ký công việc. Chênh lệch giá hợp đồng và chi phí dùng chi phí nhân sự này.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700"/>
        <w:gridCol w:w="2600"/>
        <w:gridCol w:w="3000"/>
      </w:tblGrid>
      <w:tr>
        <w:trPr>
          <w:tblHeader w:val="true"/>
        </w:trPr>
        <w:tc>
          <w:tcPr>
            <w:tcW w:type="dxa" w:w="37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2600"/>
          </w:tcPr>
          <w:p>
            <w:pPr>
              <w:spacing w:before="0" w:after="40"/>
              <w:jc w:val="left"/>
            </w:pPr>
            <w:r>
              <w:rPr>
                <w:rFonts w:ascii="Times New Roman" w:hAnsi="Times New Roman" w:eastAsia="Times New Roman" w:cs="Times New Roman"/>
                <w:b w:val="0"/>
                <w:i w:val="0"/>
                <w:caps w:val="0"/>
                <w:color w:val="000000"/>
                <w:sz w:val="24"/>
              </w:rPr>
              <w:t>Kế hoạch</w:t>
            </w:r>
          </w:p>
        </w:tc>
        <w:tc>
          <w:tcPr>
            <w:tcW w:type="dxa" w:w="3000"/>
          </w:tcPr>
          <w:p>
            <w:pPr>
              <w:spacing w:before="0" w:after="40"/>
              <w:jc w:val="left"/>
            </w:pPr>
            <w:r>
              <w:rPr>
                <w:rFonts w:ascii="Times New Roman" w:hAnsi="Times New Roman" w:eastAsia="Times New Roman" w:cs="Times New Roman"/>
                <w:b w:val="0"/>
                <w:i w:val="0"/>
                <w:caps w:val="0"/>
                <w:color w:val="000000"/>
                <w:sz w:val="24"/>
              </w:rPr>
              <w:t>Thực tế</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Tỷ suất chênh lệch trên giá hợp đồng</w:t>
            </w:r>
          </w:p>
        </w:tc>
        <w:tc>
          <w:tcPr>
            <w:tcW w:type="dxa" w:w="26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26,3%</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Công sức, MD</w:t>
            </w:r>
          </w:p>
        </w:tc>
        <w:tc>
          <w:tcPr>
            <w:tcW w:type="dxa" w:w="2600"/>
          </w:tcPr>
          <w:p>
            <w:pPr>
              <w:spacing w:before="0" w:after="40"/>
              <w:jc w:val="left"/>
            </w:pPr>
            <w:r>
              <w:rPr>
                <w:rFonts w:ascii="Times New Roman" w:hAnsi="Times New Roman" w:eastAsia="Times New Roman" w:cs="Times New Roman"/>
                <w:b w:val="0"/>
                <w:i w:val="0"/>
                <w:caps w:val="0"/>
                <w:color w:val="000000"/>
                <w:sz w:val="24"/>
              </w:rPr>
              <w:t>733</w:t>
            </w:r>
          </w:p>
        </w:tc>
        <w:tc>
          <w:tcPr>
            <w:tcW w:type="dxa" w:w="3000"/>
          </w:tcPr>
          <w:p>
            <w:pPr>
              <w:spacing w:before="0" w:after="40"/>
              <w:jc w:val="left"/>
            </w:pPr>
            <w:r>
              <w:rPr>
                <w:rFonts w:ascii="Times New Roman" w:hAnsi="Times New Roman" w:eastAsia="Times New Roman" w:cs="Times New Roman"/>
                <w:b w:val="0"/>
                <w:i w:val="0"/>
                <w:caps w:val="0"/>
                <w:color w:val="000000"/>
                <w:sz w:val="24"/>
              </w:rPr>
              <w:t>736,75</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Giá trị theo đơn giá dự toán, đồng</w:t>
            </w:r>
          </w:p>
        </w:tc>
        <w:tc>
          <w:tcPr>
            <w:tcW w:type="dxa" w:w="2600"/>
          </w:tcPr>
          <w:p>
            <w:pPr>
              <w:spacing w:before="0" w:after="40"/>
              <w:jc w:val="left"/>
            </w:pPr>
            <w:r>
              <w:rPr>
                <w:rFonts w:ascii="Times New Roman" w:hAnsi="Times New Roman" w:eastAsia="Times New Roman" w:cs="Times New Roman"/>
                <w:b w:val="0"/>
                <w:i w:val="0"/>
                <w:caps w:val="0"/>
                <w:color w:val="000000"/>
                <w:sz w:val="24"/>
              </w:rPr>
              <w:t>BAC 1.581.550.000</w:t>
            </w:r>
          </w:p>
        </w:tc>
        <w:tc>
          <w:tcPr>
            <w:tcW w:type="dxa" w:w="3000"/>
          </w:tcPr>
          <w:p>
            <w:pPr>
              <w:spacing w:before="0" w:after="40"/>
              <w:jc w:val="left"/>
            </w:pPr>
            <w:r>
              <w:rPr>
                <w:rFonts w:ascii="Times New Roman" w:hAnsi="Times New Roman" w:eastAsia="Times New Roman" w:cs="Times New Roman"/>
                <w:b w:val="0"/>
                <w:i w:val="0"/>
                <w:caps w:val="0"/>
                <w:color w:val="000000"/>
                <w:sz w:val="24"/>
              </w:rPr>
              <w:t>EV 1.581.550.000, AC 1.589.487.500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Chỉ số CPI theo công, SPI kỳ cuối</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CPI 0,99, SPI 1,00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Chỉ số CPI theo chi phí thực kỳ cuối</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0,99</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Ngày huy động, ngày sẵn sàng không ghi công, MD</w:t>
            </w:r>
          </w:p>
        </w:tc>
        <w:tc>
          <w:tcPr>
            <w:tcW w:type="dxa" w:w="2600"/>
          </w:tcPr>
          <w:p>
            <w:pPr>
              <w:spacing w:before="0" w:after="40"/>
              <w:jc w:val="left"/>
            </w:pPr>
            <w:r>
              <w:rPr>
                <w:rFonts w:ascii="Times New Roman" w:hAnsi="Times New Roman" w:eastAsia="Times New Roman" w:cs="Times New Roman"/>
                <w:b w:val="0"/>
                <w:i w:val="0"/>
                <w:caps w:val="0"/>
                <w:color w:val="000000"/>
                <w:sz w:val="24"/>
              </w:rPr>
              <w:t>908</w:t>
            </w:r>
          </w:p>
        </w:tc>
        <w:tc>
          <w:tcPr>
            <w:tcW w:type="dxa" w:w="3000"/>
          </w:tcPr>
          <w:p>
            <w:pPr>
              <w:spacing w:before="0" w:after="40"/>
              <w:jc w:val="left"/>
            </w:pPr>
            <w:r>
              <w:rPr>
                <w:rFonts w:ascii="Times New Roman" w:hAnsi="Times New Roman" w:eastAsia="Times New Roman" w:cs="Times New Roman"/>
                <w:b w:val="0"/>
                <w:i w:val="0"/>
                <w:caps w:val="0"/>
                <w:color w:val="000000"/>
                <w:sz w:val="24"/>
              </w:rPr>
              <w:t>921, sẵn sàng 184,25</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Tỷ lệ sử dụng nhân lực huy động</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79,99%</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500"/>
        <w:gridCol w:w="1000"/>
        <w:gridCol w:w="1000"/>
        <w:gridCol w:w="900"/>
        <w:gridCol w:w="1000"/>
        <w:gridCol w:w="1100"/>
        <w:gridCol w:w="8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500"/>
          </w:tcPr>
          <w:p>
            <w:pPr>
              <w:spacing w:before="0" w:after="40"/>
              <w:jc w:val="left"/>
            </w:pPr>
            <w:r>
              <w:rPr>
                <w:rFonts w:ascii="Times New Roman" w:hAnsi="Times New Roman" w:eastAsia="Times New Roman" w:cs="Times New Roman"/>
                <w:b w:val="0"/>
                <w:i w:val="0"/>
                <w:caps w:val="0"/>
                <w:color w:val="000000"/>
                <w:sz w:val="24"/>
              </w:rPr>
              <w:t>Vai trò</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 MD</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9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0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100"/>
          </w:tcPr>
          <w:p>
            <w:pPr>
              <w:spacing w:before="0" w:after="40"/>
              <w:jc w:val="right"/>
            </w:pPr>
            <w:r>
              <w:rPr>
                <w:rFonts w:ascii="Times New Roman" w:hAnsi="Times New Roman" w:eastAsia="Times New Roman" w:cs="Times New Roman"/>
                <w:b w:val="0"/>
                <w:i w:val="0"/>
                <w:caps w:val="0"/>
                <w:color w:val="000000"/>
                <w:sz w:val="24"/>
              </w:rPr>
              <w:t>Sẵn sàng không ghi công, MD</w:t>
            </w:r>
          </w:p>
        </w:tc>
        <w:tc>
          <w:tcPr>
            <w:tcW w:type="dxa" w:w="8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500"/>
          </w:tcPr>
          <w:p>
            <w:pPr>
              <w:spacing w:before="0" w:after="40"/>
              <w:jc w:val="left"/>
            </w:pPr>
            <w:r>
              <w:rPr>
                <w:rFonts w:ascii="Times New Roman" w:hAnsi="Times New Roman" w:eastAsia="Times New Roman" w:cs="Times New Roman"/>
                <w:b w:val="0"/>
                <w:i w:val="0"/>
                <w:caps w:val="0"/>
                <w:color w:val="000000"/>
                <w:sz w:val="24"/>
              </w:rPr>
              <w:t>Trưởng nhóm, kiến trúc sư</w:t>
            </w:r>
          </w:p>
        </w:tc>
        <w:tc>
          <w:tcPr>
            <w:tcW w:type="dxa" w:w="1000"/>
          </w:tcPr>
          <w:p>
            <w:pPr>
              <w:spacing w:before="0" w:after="40"/>
              <w:jc w:val="right"/>
            </w:pPr>
            <w:r>
              <w:rPr>
                <w:rFonts w:ascii="Times New Roman" w:hAnsi="Times New Roman" w:eastAsia="Times New Roman" w:cs="Times New Roman"/>
                <w:b w:val="0"/>
                <w:i w:val="0"/>
                <w:caps w:val="0"/>
                <w:color w:val="000000"/>
                <w:sz w:val="24"/>
              </w:rPr>
              <w:t>66,33</w:t>
            </w:r>
          </w:p>
        </w:tc>
        <w:tc>
          <w:tcPr>
            <w:tcW w:type="dxa" w:w="1000"/>
          </w:tcPr>
          <w:p>
            <w:pPr>
              <w:spacing w:before="0" w:after="40"/>
              <w:jc w:val="right"/>
            </w:pPr>
            <w:r>
              <w:rPr>
                <w:rFonts w:ascii="Times New Roman" w:hAnsi="Times New Roman" w:eastAsia="Times New Roman" w:cs="Times New Roman"/>
                <w:b w:val="0"/>
                <w:i w:val="0"/>
                <w:caps w:val="0"/>
                <w:color w:val="000000"/>
                <w:sz w:val="24"/>
              </w:rPr>
              <w:t>67,25</w:t>
            </w:r>
          </w:p>
        </w:tc>
        <w:tc>
          <w:tcPr>
            <w:tcW w:type="dxa" w:w="900"/>
          </w:tcPr>
          <w:p>
            <w:pPr>
              <w:spacing w:before="0" w:after="40"/>
              <w:jc w:val="right"/>
            </w:pPr>
            <w:r>
              <w:rPr>
                <w:rFonts w:ascii="Times New Roman" w:hAnsi="Times New Roman" w:eastAsia="Times New Roman" w:cs="Times New Roman"/>
                <w:b w:val="0"/>
                <w:i w:val="0"/>
                <w:caps w:val="0"/>
                <w:color w:val="000000"/>
                <w:sz w:val="24"/>
              </w:rPr>
              <w:t>0,92</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18,75</w:t>
            </w:r>
          </w:p>
        </w:tc>
        <w:tc>
          <w:tcPr>
            <w:tcW w:type="dxa" w:w="800"/>
          </w:tcPr>
          <w:p>
            <w:pPr>
              <w:spacing w:before="0" w:after="40"/>
              <w:jc w:val="right"/>
            </w:pPr>
            <w:r>
              <w:rPr>
                <w:rFonts w:ascii="Times New Roman" w:hAnsi="Times New Roman" w:eastAsia="Times New Roman" w:cs="Times New Roman"/>
                <w:b w:val="0"/>
                <w:i w:val="0"/>
                <w:caps w:val="0"/>
                <w:color w:val="000000"/>
                <w:sz w:val="24"/>
              </w:rPr>
              <w:t>78,2%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000"/>
          </w:tcPr>
          <w:p>
            <w:pPr>
              <w:spacing w:before="0" w:after="40"/>
              <w:jc w:val="right"/>
            </w:pPr>
            <w:r>
              <w:rPr>
                <w:rFonts w:ascii="Times New Roman" w:hAnsi="Times New Roman" w:eastAsia="Times New Roman" w:cs="Times New Roman"/>
                <w:b w:val="0"/>
                <w:i w:val="0"/>
                <w:caps w:val="0"/>
                <w:color w:val="000000"/>
                <w:sz w:val="24"/>
              </w:rPr>
              <w:t>50,25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70,50</w:t>
            </w:r>
          </w:p>
        </w:tc>
        <w:tc>
          <w:tcPr>
            <w:tcW w:type="dxa" w:w="1100"/>
          </w:tcPr>
          <w:p>
            <w:pPr>
              <w:spacing w:before="0" w:after="40"/>
              <w:jc w:val="right"/>
            </w:pPr>
            <w:r>
              <w:rPr>
                <w:rFonts w:ascii="Times New Roman" w:hAnsi="Times New Roman" w:eastAsia="Times New Roman" w:cs="Times New Roman"/>
                <w:b w:val="0"/>
                <w:i w:val="0"/>
                <w:caps w:val="0"/>
                <w:color w:val="000000"/>
                <w:sz w:val="24"/>
              </w:rPr>
              <w:t>20,25</w:t>
            </w:r>
          </w:p>
        </w:tc>
        <w:tc>
          <w:tcPr>
            <w:tcW w:type="dxa" w:w="800"/>
          </w:tcPr>
          <w:p>
            <w:pPr>
              <w:spacing w:before="0" w:after="40"/>
              <w:jc w:val="right"/>
            </w:pPr>
            <w:r>
              <w:rPr>
                <w:rFonts w:ascii="Times New Roman" w:hAnsi="Times New Roman" w:eastAsia="Times New Roman" w:cs="Times New Roman"/>
                <w:b w:val="0"/>
                <w:i w:val="0"/>
                <w:caps w:val="0"/>
                <w:color w:val="000000"/>
                <w:sz w:val="24"/>
              </w:rPr>
              <w:t>71,3%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frontend</w:t>
            </w:r>
          </w:p>
        </w:tc>
        <w:tc>
          <w:tcPr>
            <w:tcW w:type="dxa" w:w="1000"/>
          </w:tcPr>
          <w:p>
            <w:pPr>
              <w:spacing w:before="0" w:after="40"/>
              <w:jc w:val="right"/>
            </w:pPr>
            <w:r>
              <w:rPr>
                <w:rFonts w:ascii="Times New Roman" w:hAnsi="Times New Roman" w:eastAsia="Times New Roman" w:cs="Times New Roman"/>
                <w:b w:val="0"/>
                <w:i w:val="0"/>
                <w:caps w:val="0"/>
                <w:color w:val="000000"/>
                <w:sz w:val="24"/>
              </w:rPr>
              <w:t>58,00</w:t>
            </w:r>
          </w:p>
        </w:tc>
        <w:tc>
          <w:tcPr>
            <w:tcW w:type="dxa" w:w="1000"/>
          </w:tcPr>
          <w:p>
            <w:pPr>
              <w:spacing w:before="0" w:after="40"/>
              <w:jc w:val="right"/>
            </w:pPr>
            <w:r>
              <w:rPr>
                <w:rFonts w:ascii="Times New Roman" w:hAnsi="Times New Roman" w:eastAsia="Times New Roman" w:cs="Times New Roman"/>
                <w:b w:val="0"/>
                <w:i w:val="0"/>
                <w:caps w:val="0"/>
                <w:color w:val="000000"/>
                <w:sz w:val="24"/>
              </w:rPr>
              <w:t>57,50</w:t>
            </w:r>
          </w:p>
        </w:tc>
        <w:tc>
          <w:tcPr>
            <w:tcW w:type="dxa" w:w="900"/>
          </w:tcPr>
          <w:p>
            <w:pPr>
              <w:spacing w:before="0" w:after="40"/>
              <w:jc w:val="right"/>
            </w:pPr>
            <w:r>
              <w:rPr>
                <w:rFonts w:ascii="Times New Roman" w:hAnsi="Times New Roman" w:eastAsia="Times New Roman" w:cs="Times New Roman"/>
                <w:b w:val="0"/>
                <w:i w:val="0"/>
                <w:caps w:val="0"/>
                <w:color w:val="000000"/>
                <w:sz w:val="24"/>
              </w:rPr>
              <w:t>âm 0,50</w:t>
            </w:r>
          </w:p>
        </w:tc>
        <w:tc>
          <w:tcPr>
            <w:tcW w:type="dxa" w:w="1000"/>
          </w:tcPr>
          <w:p>
            <w:pPr>
              <w:spacing w:before="0" w:after="40"/>
              <w:jc w:val="right"/>
            </w:pPr>
            <w:r>
              <w:rPr>
                <w:rFonts w:ascii="Times New Roman" w:hAnsi="Times New Roman" w:eastAsia="Times New Roman" w:cs="Times New Roman"/>
                <w:b w:val="0"/>
                <w:i w:val="0"/>
                <w:caps w:val="0"/>
                <w:color w:val="000000"/>
                <w:sz w:val="24"/>
              </w:rPr>
              <w:t>72,00</w:t>
            </w:r>
          </w:p>
        </w:tc>
        <w:tc>
          <w:tcPr>
            <w:tcW w:type="dxa" w:w="1100"/>
          </w:tcPr>
          <w:p>
            <w:pPr>
              <w:spacing w:before="0" w:after="40"/>
              <w:jc w:val="right"/>
            </w:pPr>
            <w:r>
              <w:rPr>
                <w:rFonts w:ascii="Times New Roman" w:hAnsi="Times New Roman" w:eastAsia="Times New Roman" w:cs="Times New Roman"/>
                <w:b w:val="0"/>
                <w:i w:val="0"/>
                <w:caps w:val="0"/>
                <w:color w:val="000000"/>
                <w:sz w:val="24"/>
              </w:rPr>
              <w:t>14,50</w:t>
            </w:r>
          </w:p>
        </w:tc>
        <w:tc>
          <w:tcPr>
            <w:tcW w:type="dxa" w:w="800"/>
          </w:tcPr>
          <w:p>
            <w:pPr>
              <w:spacing w:before="0" w:after="40"/>
              <w:jc w:val="right"/>
            </w:pPr>
            <w:r>
              <w:rPr>
                <w:rFonts w:ascii="Times New Roman" w:hAnsi="Times New Roman" w:eastAsia="Times New Roman" w:cs="Times New Roman"/>
                <w:b w:val="0"/>
                <w:i w:val="0"/>
                <w:caps w:val="0"/>
                <w:color w:val="000000"/>
                <w:sz w:val="24"/>
              </w:rPr>
              <w:t>79,9%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66,50</w:t>
            </w:r>
          </w:p>
        </w:tc>
        <w:tc>
          <w:tcPr>
            <w:tcW w:type="dxa" w:w="1000"/>
          </w:tcPr>
          <w:p>
            <w:pPr>
              <w:spacing w:before="0" w:after="40"/>
              <w:jc w:val="right"/>
            </w:pPr>
            <w:r>
              <w:rPr>
                <w:rFonts w:ascii="Times New Roman" w:hAnsi="Times New Roman" w:eastAsia="Times New Roman" w:cs="Times New Roman"/>
                <w:b w:val="0"/>
                <w:i w:val="0"/>
                <w:caps w:val="0"/>
                <w:color w:val="000000"/>
                <w:sz w:val="24"/>
              </w:rPr>
              <w:t>67,50</w:t>
            </w:r>
          </w:p>
        </w:tc>
        <w:tc>
          <w:tcPr>
            <w:tcW w:type="dxa" w:w="900"/>
          </w:tcPr>
          <w:p>
            <w:pPr>
              <w:spacing w:before="0" w:after="40"/>
              <w:jc w:val="right"/>
            </w:pPr>
            <w:r>
              <w:rPr>
                <w:rFonts w:ascii="Times New Roman" w:hAnsi="Times New Roman" w:eastAsia="Times New Roman" w:cs="Times New Roman"/>
                <w:b w:val="0"/>
                <w:i w:val="0"/>
                <w:caps w:val="0"/>
                <w:color w:val="000000"/>
                <w:sz w:val="24"/>
              </w:rPr>
              <w:t>1,00</w:t>
            </w:r>
          </w:p>
        </w:tc>
        <w:tc>
          <w:tcPr>
            <w:tcW w:type="dxa" w:w="1000"/>
          </w:tcPr>
          <w:p>
            <w:pPr>
              <w:spacing w:before="0" w:after="40"/>
              <w:jc w:val="right"/>
            </w:pPr>
            <w:r>
              <w:rPr>
                <w:rFonts w:ascii="Times New Roman" w:hAnsi="Times New Roman" w:eastAsia="Times New Roman" w:cs="Times New Roman"/>
                <w:b w:val="0"/>
                <w:i w:val="0"/>
                <w:caps w:val="0"/>
                <w:color w:val="000000"/>
                <w:sz w:val="24"/>
              </w:rPr>
              <w:t>76,00</w:t>
            </w:r>
          </w:p>
        </w:tc>
        <w:tc>
          <w:tcPr>
            <w:tcW w:type="dxa" w:w="1100"/>
          </w:tcPr>
          <w:p>
            <w:pPr>
              <w:spacing w:before="0" w:after="40"/>
              <w:jc w:val="right"/>
            </w:pPr>
            <w:r>
              <w:rPr>
                <w:rFonts w:ascii="Times New Roman" w:hAnsi="Times New Roman" w:eastAsia="Times New Roman" w:cs="Times New Roman"/>
                <w:b w:val="0"/>
                <w:i w:val="0"/>
                <w:caps w:val="0"/>
                <w:color w:val="000000"/>
                <w:sz w:val="24"/>
              </w:rPr>
              <w:t>8,50</w:t>
            </w:r>
          </w:p>
        </w:tc>
        <w:tc>
          <w:tcPr>
            <w:tcW w:type="dxa" w:w="800"/>
          </w:tcPr>
          <w:p>
            <w:pPr>
              <w:spacing w:before="0" w:after="40"/>
              <w:jc w:val="right"/>
            </w:pPr>
            <w:r>
              <w:rPr>
                <w:rFonts w:ascii="Times New Roman" w:hAnsi="Times New Roman" w:eastAsia="Times New Roman" w:cs="Times New Roman"/>
                <w:b w:val="0"/>
                <w:i w:val="0"/>
                <w:caps w:val="0"/>
                <w:color w:val="000000"/>
                <w:sz w:val="24"/>
              </w:rPr>
              <w:t>88,8%</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500"/>
          </w:tcPr>
          <w:p>
            <w:pPr>
              <w:spacing w:before="0" w:after="40"/>
              <w:jc w:val="left"/>
            </w:pPr>
            <w:r>
              <w:rPr>
                <w:rFonts w:ascii="Times New Roman" w:hAnsi="Times New Roman" w:eastAsia="Times New Roman" w:cs="Times New Roman"/>
                <w:b w:val="0"/>
                <w:i w:val="0"/>
                <w:caps w:val="0"/>
                <w:color w:val="000000"/>
                <w:sz w:val="24"/>
              </w:rPr>
              <w:t>Phân tích nghiệp vụ,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72,50</w:t>
            </w:r>
          </w:p>
        </w:tc>
        <w:tc>
          <w:tcPr>
            <w:tcW w:type="dxa" w:w="1000"/>
          </w:tcPr>
          <w:p>
            <w:pPr>
              <w:spacing w:before="0" w:after="40"/>
              <w:jc w:val="right"/>
            </w:pPr>
            <w:r>
              <w:rPr>
                <w:rFonts w:ascii="Times New Roman" w:hAnsi="Times New Roman" w:eastAsia="Times New Roman" w:cs="Times New Roman"/>
                <w:b w:val="0"/>
                <w:i w:val="0"/>
                <w:caps w:val="0"/>
                <w:color w:val="000000"/>
                <w:sz w:val="24"/>
              </w:rPr>
              <w:t>73,25</w:t>
            </w:r>
          </w:p>
        </w:tc>
        <w:tc>
          <w:tcPr>
            <w:tcW w:type="dxa" w:w="900"/>
          </w:tcPr>
          <w:p>
            <w:pPr>
              <w:spacing w:before="0" w:after="40"/>
              <w:jc w:val="right"/>
            </w:pPr>
            <w:r>
              <w:rPr>
                <w:rFonts w:ascii="Times New Roman" w:hAnsi="Times New Roman" w:eastAsia="Times New Roman" w:cs="Times New Roman"/>
                <w:b w:val="0"/>
                <w:i w:val="0"/>
                <w:caps w:val="0"/>
                <w:color w:val="000000"/>
                <w:sz w:val="24"/>
              </w:rPr>
              <w:t>0,75</w:t>
            </w:r>
          </w:p>
        </w:tc>
        <w:tc>
          <w:tcPr>
            <w:tcW w:type="dxa" w:w="1000"/>
          </w:tcPr>
          <w:p>
            <w:pPr>
              <w:spacing w:before="0" w:after="40"/>
              <w:jc w:val="right"/>
            </w:pPr>
            <w:r>
              <w:rPr>
                <w:rFonts w:ascii="Times New Roman" w:hAnsi="Times New Roman" w:eastAsia="Times New Roman" w:cs="Times New Roman"/>
                <w:b w:val="0"/>
                <w:i w:val="0"/>
                <w:caps w:val="0"/>
                <w:color w:val="000000"/>
                <w:sz w:val="24"/>
              </w:rPr>
              <w:t>84,00</w:t>
            </w:r>
          </w:p>
        </w:tc>
        <w:tc>
          <w:tcPr>
            <w:tcW w:type="dxa" w:w="1100"/>
          </w:tcPr>
          <w:p>
            <w:pPr>
              <w:spacing w:before="0" w:after="40"/>
              <w:jc w:val="right"/>
            </w:pPr>
            <w:r>
              <w:rPr>
                <w:rFonts w:ascii="Times New Roman" w:hAnsi="Times New Roman" w:eastAsia="Times New Roman" w:cs="Times New Roman"/>
                <w:b w:val="0"/>
                <w:i w:val="0"/>
                <w:caps w:val="0"/>
                <w:color w:val="000000"/>
                <w:sz w:val="24"/>
              </w:rPr>
              <w:t>10,75</w:t>
            </w:r>
          </w:p>
        </w:tc>
        <w:tc>
          <w:tcPr>
            <w:tcW w:type="dxa" w:w="800"/>
          </w:tcPr>
          <w:p>
            <w:pPr>
              <w:spacing w:before="0" w:after="40"/>
              <w:jc w:val="right"/>
            </w:pPr>
            <w:r>
              <w:rPr>
                <w:rFonts w:ascii="Times New Roman" w:hAnsi="Times New Roman" w:eastAsia="Times New Roman" w:cs="Times New Roman"/>
                <w:b w:val="0"/>
                <w:i w:val="0"/>
                <w:caps w:val="0"/>
                <w:color w:val="000000"/>
                <w:sz w:val="24"/>
              </w:rPr>
              <w:t>87,2%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5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000"/>
          </w:tcPr>
          <w:p>
            <w:pPr>
              <w:spacing w:before="0" w:after="40"/>
              <w:jc w:val="right"/>
            </w:pPr>
            <w:r>
              <w:rPr>
                <w:rFonts w:ascii="Times New Roman" w:hAnsi="Times New Roman" w:eastAsia="Times New Roman" w:cs="Times New Roman"/>
                <w:b w:val="0"/>
                <w:i w:val="0"/>
                <w:caps w:val="0"/>
                <w:color w:val="000000"/>
                <w:sz w:val="24"/>
              </w:rPr>
              <w:t>70,67</w:t>
            </w:r>
          </w:p>
        </w:tc>
        <w:tc>
          <w:tcPr>
            <w:tcW w:type="dxa" w:w="1000"/>
          </w:tcPr>
          <w:p>
            <w:pPr>
              <w:spacing w:before="0" w:after="40"/>
              <w:jc w:val="right"/>
            </w:pPr>
            <w:r>
              <w:rPr>
                <w:rFonts w:ascii="Times New Roman" w:hAnsi="Times New Roman" w:eastAsia="Times New Roman" w:cs="Times New Roman"/>
                <w:b w:val="0"/>
                <w:i w:val="0"/>
                <w:caps w:val="0"/>
                <w:color w:val="000000"/>
                <w:sz w:val="24"/>
              </w:rPr>
              <w:t>71,75</w:t>
            </w:r>
          </w:p>
        </w:tc>
        <w:tc>
          <w:tcPr>
            <w:tcW w:type="dxa" w:w="900"/>
          </w:tcPr>
          <w:p>
            <w:pPr>
              <w:spacing w:before="0" w:after="40"/>
              <w:jc w:val="right"/>
            </w:pPr>
            <w:r>
              <w:rPr>
                <w:rFonts w:ascii="Times New Roman" w:hAnsi="Times New Roman" w:eastAsia="Times New Roman" w:cs="Times New Roman"/>
                <w:b w:val="0"/>
                <w:i w:val="0"/>
                <w:caps w:val="0"/>
                <w:color w:val="000000"/>
                <w:sz w:val="24"/>
              </w:rPr>
              <w:t>1,08</w:t>
            </w:r>
          </w:p>
        </w:tc>
        <w:tc>
          <w:tcPr>
            <w:tcW w:type="dxa" w:w="1000"/>
          </w:tcPr>
          <w:p>
            <w:pPr>
              <w:spacing w:before="0" w:after="40"/>
              <w:jc w:val="right"/>
            </w:pPr>
            <w:r>
              <w:rPr>
                <w:rFonts w:ascii="Times New Roman" w:hAnsi="Times New Roman" w:eastAsia="Times New Roman" w:cs="Times New Roman"/>
                <w:b w:val="0"/>
                <w:i w:val="0"/>
                <w:caps w:val="0"/>
                <w:color w:val="000000"/>
                <w:sz w:val="24"/>
              </w:rPr>
              <w:t>80,00</w:t>
            </w:r>
          </w:p>
        </w:tc>
        <w:tc>
          <w:tcPr>
            <w:tcW w:type="dxa" w:w="1100"/>
          </w:tcPr>
          <w:p>
            <w:pPr>
              <w:spacing w:before="0" w:after="40"/>
              <w:jc w:val="right"/>
            </w:pPr>
            <w:r>
              <w:rPr>
                <w:rFonts w:ascii="Times New Roman" w:hAnsi="Times New Roman" w:eastAsia="Times New Roman" w:cs="Times New Roman"/>
                <w:b w:val="0"/>
                <w:i w:val="0"/>
                <w:caps w:val="0"/>
                <w:color w:val="000000"/>
                <w:sz w:val="24"/>
              </w:rPr>
              <w:t>8,25</w:t>
            </w:r>
          </w:p>
        </w:tc>
        <w:tc>
          <w:tcPr>
            <w:tcW w:type="dxa" w:w="800"/>
          </w:tcPr>
          <w:p>
            <w:pPr>
              <w:spacing w:before="0" w:after="40"/>
              <w:jc w:val="right"/>
            </w:pPr>
            <w:r>
              <w:rPr>
                <w:rFonts w:ascii="Times New Roman" w:hAnsi="Times New Roman" w:eastAsia="Times New Roman" w:cs="Times New Roman"/>
                <w:b w:val="0"/>
                <w:i w:val="0"/>
                <w:caps w:val="0"/>
                <w:color w:val="000000"/>
                <w:sz w:val="24"/>
              </w:rPr>
              <w:t>89,7%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67,50</w:t>
            </w:r>
          </w:p>
        </w:tc>
        <w:tc>
          <w:tcPr>
            <w:tcW w:type="dxa" w:w="1000"/>
          </w:tcPr>
          <w:p>
            <w:pPr>
              <w:spacing w:before="0" w:after="40"/>
              <w:jc w:val="right"/>
            </w:pPr>
            <w:r>
              <w:rPr>
                <w:rFonts w:ascii="Times New Roman" w:hAnsi="Times New Roman" w:eastAsia="Times New Roman" w:cs="Times New Roman"/>
                <w:b w:val="0"/>
                <w:i w:val="0"/>
                <w:caps w:val="0"/>
                <w:color w:val="000000"/>
                <w:sz w:val="24"/>
              </w:rPr>
              <w:t>67,00</w:t>
            </w:r>
          </w:p>
        </w:tc>
        <w:tc>
          <w:tcPr>
            <w:tcW w:type="dxa" w:w="900"/>
          </w:tcPr>
          <w:p>
            <w:pPr>
              <w:spacing w:before="0" w:after="40"/>
              <w:jc w:val="right"/>
            </w:pPr>
            <w:r>
              <w:rPr>
                <w:rFonts w:ascii="Times New Roman" w:hAnsi="Times New Roman" w:eastAsia="Times New Roman" w:cs="Times New Roman"/>
                <w:b w:val="0"/>
                <w:i w:val="0"/>
                <w:caps w:val="0"/>
                <w:color w:val="000000"/>
                <w:sz w:val="24"/>
              </w:rPr>
              <w:t>âm 0,50</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19,00</w:t>
            </w:r>
          </w:p>
        </w:tc>
        <w:tc>
          <w:tcPr>
            <w:tcW w:type="dxa" w:w="800"/>
          </w:tcPr>
          <w:p>
            <w:pPr>
              <w:spacing w:before="0" w:after="40"/>
              <w:jc w:val="right"/>
            </w:pPr>
            <w:r>
              <w:rPr>
                <w:rFonts w:ascii="Times New Roman" w:hAnsi="Times New Roman" w:eastAsia="Times New Roman" w:cs="Times New Roman"/>
                <w:b w:val="0"/>
                <w:i w:val="0"/>
                <w:caps w:val="0"/>
                <w:color w:val="000000"/>
                <w:sz w:val="24"/>
              </w:rPr>
              <w:t>77,9%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64,00</w:t>
            </w:r>
          </w:p>
        </w:tc>
        <w:tc>
          <w:tcPr>
            <w:tcW w:type="dxa" w:w="1000"/>
          </w:tcPr>
          <w:p>
            <w:pPr>
              <w:spacing w:before="0" w:after="40"/>
              <w:jc w:val="right"/>
            </w:pPr>
            <w:r>
              <w:rPr>
                <w:rFonts w:ascii="Times New Roman" w:hAnsi="Times New Roman" w:eastAsia="Times New Roman" w:cs="Times New Roman"/>
                <w:b w:val="0"/>
                <w:i w:val="0"/>
                <w:caps w:val="0"/>
                <w:color w:val="000000"/>
                <w:sz w:val="24"/>
              </w:rPr>
              <w:t>64,25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78,00</w:t>
            </w:r>
          </w:p>
        </w:tc>
        <w:tc>
          <w:tcPr>
            <w:tcW w:type="dxa" w:w="1100"/>
          </w:tcPr>
          <w:p>
            <w:pPr>
              <w:spacing w:before="0" w:after="40"/>
              <w:jc w:val="right"/>
            </w:pPr>
            <w:r>
              <w:rPr>
                <w:rFonts w:ascii="Times New Roman" w:hAnsi="Times New Roman" w:eastAsia="Times New Roman" w:cs="Times New Roman"/>
                <w:b w:val="0"/>
                <w:i w:val="0"/>
                <w:caps w:val="0"/>
                <w:color w:val="000000"/>
                <w:sz w:val="24"/>
              </w:rPr>
              <w:t>13,75</w:t>
            </w:r>
          </w:p>
        </w:tc>
        <w:tc>
          <w:tcPr>
            <w:tcW w:type="dxa" w:w="800"/>
          </w:tcPr>
          <w:p>
            <w:pPr>
              <w:spacing w:before="0" w:after="40"/>
              <w:jc w:val="right"/>
            </w:pPr>
            <w:r>
              <w:rPr>
                <w:rFonts w:ascii="Times New Roman" w:hAnsi="Times New Roman" w:eastAsia="Times New Roman" w:cs="Times New Roman"/>
                <w:b w:val="0"/>
                <w:i w:val="0"/>
                <w:caps w:val="0"/>
                <w:color w:val="000000"/>
                <w:sz w:val="24"/>
              </w:rPr>
              <w:t>82,4%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59,50</w:t>
            </w:r>
          </w:p>
        </w:tc>
        <w:tc>
          <w:tcPr>
            <w:tcW w:type="dxa" w:w="1000"/>
          </w:tcPr>
          <w:p>
            <w:pPr>
              <w:spacing w:before="0" w:after="40"/>
              <w:jc w:val="right"/>
            </w:pPr>
            <w:r>
              <w:rPr>
                <w:rFonts w:ascii="Times New Roman" w:hAnsi="Times New Roman" w:eastAsia="Times New Roman" w:cs="Times New Roman"/>
                <w:b w:val="0"/>
                <w:i w:val="0"/>
                <w:caps w:val="0"/>
                <w:color w:val="000000"/>
                <w:sz w:val="24"/>
              </w:rPr>
              <w:t>60,25</w:t>
            </w:r>
          </w:p>
        </w:tc>
        <w:tc>
          <w:tcPr>
            <w:tcW w:type="dxa" w:w="900"/>
          </w:tcPr>
          <w:p>
            <w:pPr>
              <w:spacing w:before="0" w:after="40"/>
              <w:jc w:val="right"/>
            </w:pPr>
            <w:r>
              <w:rPr>
                <w:rFonts w:ascii="Times New Roman" w:hAnsi="Times New Roman" w:eastAsia="Times New Roman" w:cs="Times New Roman"/>
                <w:b w:val="0"/>
                <w:i w:val="0"/>
                <w:caps w:val="0"/>
                <w:color w:val="000000"/>
                <w:sz w:val="24"/>
              </w:rPr>
              <w:t>0,75</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25,75</w:t>
            </w:r>
          </w:p>
        </w:tc>
        <w:tc>
          <w:tcPr>
            <w:tcW w:type="dxa" w:w="800"/>
          </w:tcPr>
          <w:p>
            <w:pPr>
              <w:spacing w:before="0" w:after="40"/>
              <w:jc w:val="right"/>
            </w:pPr>
            <w:r>
              <w:rPr>
                <w:rFonts w:ascii="Times New Roman" w:hAnsi="Times New Roman" w:eastAsia="Times New Roman" w:cs="Times New Roman"/>
                <w:b w:val="0"/>
                <w:i w:val="0"/>
                <w:caps w:val="0"/>
                <w:color w:val="000000"/>
                <w:sz w:val="24"/>
              </w:rPr>
              <w:t>70,1%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49,50</w:t>
            </w:r>
          </w:p>
        </w:tc>
        <w:tc>
          <w:tcPr>
            <w:tcW w:type="dxa" w:w="1000"/>
          </w:tcPr>
          <w:p>
            <w:pPr>
              <w:spacing w:before="0" w:after="40"/>
              <w:jc w:val="right"/>
            </w:pPr>
            <w:r>
              <w:rPr>
                <w:rFonts w:ascii="Times New Roman" w:hAnsi="Times New Roman" w:eastAsia="Times New Roman" w:cs="Times New Roman"/>
                <w:b w:val="0"/>
                <w:i w:val="0"/>
                <w:caps w:val="0"/>
                <w:color w:val="000000"/>
                <w:sz w:val="24"/>
              </w:rPr>
              <w:t>49,75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72,00</w:t>
            </w:r>
          </w:p>
        </w:tc>
        <w:tc>
          <w:tcPr>
            <w:tcW w:type="dxa" w:w="1100"/>
          </w:tcPr>
          <w:p>
            <w:pPr>
              <w:spacing w:before="0" w:after="40"/>
              <w:jc w:val="right"/>
            </w:pPr>
            <w:r>
              <w:rPr>
                <w:rFonts w:ascii="Times New Roman" w:hAnsi="Times New Roman" w:eastAsia="Times New Roman" w:cs="Times New Roman"/>
                <w:b w:val="0"/>
                <w:i w:val="0"/>
                <w:caps w:val="0"/>
                <w:color w:val="000000"/>
                <w:sz w:val="24"/>
              </w:rPr>
              <w:t>22,25</w:t>
            </w:r>
          </w:p>
        </w:tc>
        <w:tc>
          <w:tcPr>
            <w:tcW w:type="dxa" w:w="800"/>
          </w:tcPr>
          <w:p>
            <w:pPr>
              <w:spacing w:before="0" w:after="40"/>
              <w:jc w:val="right"/>
            </w:pPr>
            <w:r>
              <w:rPr>
                <w:rFonts w:ascii="Times New Roman" w:hAnsi="Times New Roman" w:eastAsia="Times New Roman" w:cs="Times New Roman"/>
                <w:b w:val="0"/>
                <w:i w:val="0"/>
                <w:caps w:val="0"/>
                <w:color w:val="000000"/>
                <w:sz w:val="24"/>
              </w:rPr>
              <w:t>69,1%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000"/>
          </w:tcPr>
          <w:p>
            <w:pPr>
              <w:spacing w:before="0" w:after="40"/>
              <w:jc w:val="right"/>
            </w:pPr>
            <w:r>
              <w:rPr>
                <w:rFonts w:ascii="Times New Roman" w:hAnsi="Times New Roman" w:eastAsia="Times New Roman" w:cs="Times New Roman"/>
                <w:b w:val="0"/>
                <w:i w:val="0"/>
                <w:caps w:val="0"/>
                <w:color w:val="000000"/>
                <w:sz w:val="24"/>
              </w:rPr>
              <w:t>49,25</w:t>
            </w:r>
          </w:p>
        </w:tc>
        <w:tc>
          <w:tcPr>
            <w:tcW w:type="dxa" w:w="900"/>
          </w:tcPr>
          <w:p>
            <w:pPr>
              <w:spacing w:before="0" w:after="40"/>
              <w:jc w:val="right"/>
            </w:pPr>
            <w:r>
              <w:rPr>
                <w:rFonts w:ascii="Times New Roman" w:hAnsi="Times New Roman" w:eastAsia="Times New Roman" w:cs="Times New Roman"/>
                <w:b w:val="0"/>
                <w:i w:val="0"/>
                <w:caps w:val="0"/>
                <w:color w:val="000000"/>
                <w:sz w:val="24"/>
              </w:rPr>
              <w:t>âm 0,75</w:t>
            </w:r>
          </w:p>
        </w:tc>
        <w:tc>
          <w:tcPr>
            <w:tcW w:type="dxa" w:w="1000"/>
          </w:tcPr>
          <w:p>
            <w:pPr>
              <w:spacing w:before="0" w:after="40"/>
              <w:jc w:val="right"/>
            </w:pPr>
            <w:r>
              <w:rPr>
                <w:rFonts w:ascii="Times New Roman" w:hAnsi="Times New Roman" w:eastAsia="Times New Roman" w:cs="Times New Roman"/>
                <w:b w:val="0"/>
                <w:i w:val="0"/>
                <w:caps w:val="0"/>
                <w:color w:val="000000"/>
                <w:sz w:val="24"/>
              </w:rPr>
              <w:t>66,00</w:t>
            </w:r>
          </w:p>
        </w:tc>
        <w:tc>
          <w:tcPr>
            <w:tcW w:type="dxa" w:w="1100"/>
          </w:tcPr>
          <w:p>
            <w:pPr>
              <w:spacing w:before="0" w:after="40"/>
              <w:jc w:val="right"/>
            </w:pPr>
            <w:r>
              <w:rPr>
                <w:rFonts w:ascii="Times New Roman" w:hAnsi="Times New Roman" w:eastAsia="Times New Roman" w:cs="Times New Roman"/>
                <w:b w:val="0"/>
                <w:i w:val="0"/>
                <w:caps w:val="0"/>
                <w:color w:val="000000"/>
                <w:sz w:val="24"/>
              </w:rPr>
              <w:t>16,75</w:t>
            </w:r>
          </w:p>
        </w:tc>
        <w:tc>
          <w:tcPr>
            <w:tcW w:type="dxa" w:w="800"/>
          </w:tcPr>
          <w:p>
            <w:pPr>
              <w:spacing w:before="0" w:after="40"/>
              <w:jc w:val="right"/>
            </w:pPr>
            <w:r>
              <w:rPr>
                <w:rFonts w:ascii="Times New Roman" w:hAnsi="Times New Roman" w:eastAsia="Times New Roman" w:cs="Times New Roman"/>
                <w:b w:val="0"/>
                <w:i w:val="0"/>
                <w:caps w:val="0"/>
                <w:color w:val="000000"/>
                <w:sz w:val="24"/>
              </w:rPr>
              <w:t>74,6%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58,50</w:t>
            </w:r>
          </w:p>
        </w:tc>
        <w:tc>
          <w:tcPr>
            <w:tcW w:type="dxa" w:w="1000"/>
          </w:tcPr>
          <w:p>
            <w:pPr>
              <w:spacing w:before="0" w:after="40"/>
              <w:jc w:val="right"/>
            </w:pPr>
            <w:r>
              <w:rPr>
                <w:rFonts w:ascii="Times New Roman" w:hAnsi="Times New Roman" w:eastAsia="Times New Roman" w:cs="Times New Roman"/>
                <w:b w:val="0"/>
                <w:i w:val="0"/>
                <w:caps w:val="0"/>
                <w:color w:val="000000"/>
                <w:sz w:val="24"/>
              </w:rPr>
              <w:t>58,75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64,50</w:t>
            </w:r>
          </w:p>
        </w:tc>
        <w:tc>
          <w:tcPr>
            <w:tcW w:type="dxa" w:w="1100"/>
          </w:tcPr>
          <w:p>
            <w:pPr>
              <w:spacing w:before="0" w:after="40"/>
              <w:jc w:val="right"/>
            </w:pPr>
            <w:r>
              <w:rPr>
                <w:rFonts w:ascii="Times New Roman" w:hAnsi="Times New Roman" w:eastAsia="Times New Roman" w:cs="Times New Roman"/>
                <w:b w:val="0"/>
                <w:i w:val="0"/>
                <w:caps w:val="0"/>
                <w:color w:val="000000"/>
                <w:sz w:val="24"/>
              </w:rPr>
              <w:t>5,75</w:t>
            </w:r>
          </w:p>
        </w:tc>
        <w:tc>
          <w:tcPr>
            <w:tcW w:type="dxa" w:w="800"/>
          </w:tcPr>
          <w:p>
            <w:pPr>
              <w:spacing w:before="0" w:after="40"/>
              <w:jc w:val="right"/>
            </w:pPr>
            <w:r>
              <w:rPr>
                <w:rFonts w:ascii="Times New Roman" w:hAnsi="Times New Roman" w:eastAsia="Times New Roman" w:cs="Times New Roman"/>
                <w:b w:val="0"/>
                <w:i w:val="0"/>
                <w:caps w:val="0"/>
                <w:color w:val="000000"/>
                <w:sz w:val="24"/>
              </w:rPr>
              <w:t>91,1%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Tổng</w:t>
            </w:r>
          </w:p>
        </w:tc>
        <w:tc>
          <w:tcPr>
            <w:tcW w:type="dxa" w:w="1500"/>
          </w:tcPr>
          <w:p>
            <w:pPr>
              <w:spacing w:before="0" w:after="40"/>
              <w:jc w:val="left"/>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733,00</w:t>
            </w:r>
          </w:p>
        </w:tc>
        <w:tc>
          <w:tcPr>
            <w:tcW w:type="dxa" w:w="1000"/>
          </w:tcPr>
          <w:p>
            <w:pPr>
              <w:spacing w:before="0" w:after="40"/>
              <w:jc w:val="right"/>
            </w:pPr>
            <w:r>
              <w:rPr>
                <w:rFonts w:ascii="Times New Roman" w:hAnsi="Times New Roman" w:eastAsia="Times New Roman" w:cs="Times New Roman"/>
                <w:b w:val="0"/>
                <w:i w:val="0"/>
                <w:caps w:val="0"/>
                <w:color w:val="000000"/>
                <w:sz w:val="24"/>
              </w:rPr>
              <w:t>736,75</w:t>
            </w:r>
          </w:p>
        </w:tc>
        <w:tc>
          <w:tcPr>
            <w:tcW w:type="dxa" w:w="900"/>
          </w:tcPr>
          <w:p>
            <w:pPr>
              <w:spacing w:before="0" w:after="40"/>
              <w:jc w:val="right"/>
            </w:pPr>
            <w:r>
              <w:rPr>
                <w:rFonts w:ascii="Times New Roman" w:hAnsi="Times New Roman" w:eastAsia="Times New Roman" w:cs="Times New Roman"/>
                <w:b w:val="0"/>
                <w:i w:val="0"/>
                <w:caps w:val="0"/>
                <w:color w:val="000000"/>
                <w:sz w:val="24"/>
              </w:rPr>
              <w:t>3,75</w:t>
            </w:r>
          </w:p>
        </w:tc>
        <w:tc>
          <w:tcPr>
            <w:tcW w:type="dxa" w:w="1000"/>
          </w:tcPr>
          <w:p>
            <w:pPr>
              <w:spacing w:before="0" w:after="40"/>
              <w:jc w:val="right"/>
            </w:pPr>
            <w:r>
              <w:rPr>
                <w:rFonts w:ascii="Times New Roman" w:hAnsi="Times New Roman" w:eastAsia="Times New Roman" w:cs="Times New Roman"/>
                <w:b w:val="0"/>
                <w:i w:val="0"/>
                <w:caps w:val="0"/>
                <w:color w:val="000000"/>
                <w:sz w:val="24"/>
              </w:rPr>
              <w:t>921,00</w:t>
            </w:r>
          </w:p>
        </w:tc>
        <w:tc>
          <w:tcPr>
            <w:tcW w:type="dxa" w:w="1100"/>
          </w:tcPr>
          <w:p>
            <w:pPr>
              <w:spacing w:before="0" w:after="40"/>
              <w:jc w:val="right"/>
            </w:pPr>
            <w:r>
              <w:rPr>
                <w:rFonts w:ascii="Times New Roman" w:hAnsi="Times New Roman" w:eastAsia="Times New Roman" w:cs="Times New Roman"/>
                <w:b w:val="0"/>
                <w:i w:val="0"/>
                <w:caps w:val="0"/>
                <w:color w:val="000000"/>
                <w:sz w:val="24"/>
              </w:rPr>
              <w:t>184,25</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Lương trả theo cách trả theo công sức (MD công việc). Chi phí nhân sự thực tế 1.336.368.239 đồng so với kế hoạch 1.327.839.441 đồng, chênh 8.528.798 đồng tương ứng 3,75 MD vượt kế hoạch. Phần vượt lớn nhất ở các gói đặc tả, thiết kế (1.2.5, 3.2.3, 4.2.5, 2.2.3) và dịch vụ đổi trả 3.3.7, sửa lỗi và tối ưu hiệu năng (1.4.6, 1.3.8) vượt ít hơn, phần vượt được bù một phần ở các gói dùng lại thành phần làm nhanh hơn kế hoạch.</w:t>
      </w:r>
    </w:p>
    <w:p>
      <w:pPr>
        <w:spacing w:before="0" w:after="100" w:line="300" w:lineRule="auto"/>
        <w:jc w:val="both"/>
      </w:pPr>
      <w:r>
        <w:rPr>
          <w:rFonts w:ascii="Times New Roman" w:hAnsi="Times New Roman" w:eastAsia="Times New Roman" w:cs="Times New Roman"/>
          <w:b w:val="0"/>
          <w:i w:val="0"/>
          <w:caps w:val="0"/>
          <w:color w:val="000000"/>
          <w:sz w:val="26"/>
        </w:rPr>
        <w:t>MD huy động thực tế 921 MD gồm kế hoạch 908 MD và huy động bổ sung theo nhu cầu 13 MD ở S8, S9 (nguồn sổ huy động bổ sung thực tế). Tỷ lệ sử dụng nhân lực huy động đạt 79,99%, còn 184,25 MD sẵn sàng không ghi công, với cách trả theo công sức phần này là chỉ số năng lực, không phát sinh chi phí.</w:t>
      </w:r>
    </w:p>
    <w:p>
      <w:pPr>
        <w:spacing w:before="0" w:after="100" w:line="300" w:lineRule="auto"/>
        <w:jc w:val="both"/>
      </w:pPr>
      <w:r>
        <w:rPr>
          <w:rFonts w:ascii="Times New Roman" w:hAnsi="Times New Roman" w:eastAsia="Times New Roman" w:cs="Times New Roman"/>
          <w:b w:val="0"/>
          <w:i w:val="0"/>
          <w:caps w:val="0"/>
          <w:color w:val="000000"/>
          <w:sz w:val="26"/>
        </w:rPr>
        <w:t>Chi phí khác đã chi 60.000.000 đồng, nghĩa vụ bảo hành đã cam kết chưa chi 40.000.000 đồng. Dự phòng rủi ro 50.000.000 đồng được giữ ngoài khoản B, tác động thực tế của các rủi ro đã xảy ra là 5.250.000 đồng. CPI theo công 0,99 và CPI theo chi phí thực 0,99 gần như trùng nhau vì lương trả theo MD công việc.</w:t>
      </w:r>
    </w:p>
    <w:p>
      <w:pPr>
        <w:pStyle w:val="Heading1"/>
        <w:keepNext/>
        <w:spacing w:before="240" w:after="120"/>
        <w:jc w:val="left"/>
      </w:pPr>
      <w:r>
        <w:rPr>
          <w:rFonts w:ascii="Times New Roman" w:hAnsi="Times New Roman" w:eastAsia="Times New Roman" w:cs="Times New Roman"/>
          <w:b w:val="0"/>
          <w:i w:val="0"/>
          <w:caps w:val="0"/>
          <w:color w:val="000000"/>
          <w:sz w:val="30"/>
        </w:rPr>
        <w:t>5.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000"/>
          </w:tcPr>
          <w:p>
            <w:pPr>
              <w:spacing w:before="0" w:after="40"/>
              <w:jc w:val="left"/>
            </w:pPr>
            <w:r>
              <w:rPr>
                <w:rFonts w:ascii="Times New Roman" w:hAnsi="Times New Roman" w:eastAsia="Times New Roman" w:cs="Times New Roman"/>
                <w:b w:val="0"/>
                <w:i w:val="0"/>
                <w:caps w:val="0"/>
                <w:color w:val="000000"/>
                <w:sz w:val="24"/>
              </w:rPr>
              <w:t>Giá trị</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Tiêu chí nghiệm thu đạt</w:t>
            </w:r>
          </w:p>
        </w:tc>
        <w:tc>
          <w:tcPr>
            <w:tcW w:type="dxa" w:w="4000"/>
          </w:tcPr>
          <w:p>
            <w:pPr>
              <w:spacing w:before="0" w:after="40"/>
              <w:jc w:val="left"/>
            </w:pPr>
            <w:r>
              <w:rPr>
                <w:rFonts w:ascii="Times New Roman" w:hAnsi="Times New Roman" w:eastAsia="Times New Roman" w:cs="Times New Roman"/>
                <w:b w:val="0"/>
                <w:i w:val="0"/>
                <w:caps w:val="0"/>
                <w:color w:val="000000"/>
                <w:sz w:val="24"/>
              </w:rPr>
              <w:t>22/22 (100%)</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Tiêu chí phải nghiệm thu lại</w:t>
            </w:r>
          </w:p>
        </w:tc>
        <w:tc>
          <w:tcPr>
            <w:tcW w:type="dxa" w:w="40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Yêu cầu RFP nghiệm thu đạt</w:t>
            </w:r>
          </w:p>
        </w:tc>
        <w:tc>
          <w:tcPr>
            <w:tcW w:type="dxa" w:w="4000"/>
          </w:tcPr>
          <w:p>
            <w:pPr>
              <w:spacing w:before="0" w:after="40"/>
              <w:jc w:val="left"/>
            </w:pPr>
            <w:r>
              <w:rPr>
                <w:rFonts w:ascii="Times New Roman" w:hAnsi="Times New Roman" w:eastAsia="Times New Roman" w:cs="Times New Roman"/>
                <w:b w:val="0"/>
                <w:i w:val="0"/>
                <w:caps w:val="0"/>
                <w:color w:val="000000"/>
                <w:sz w:val="24"/>
              </w:rPr>
              <w:t>16/16</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 số lỗi và mật độ lỗi</w:t>
            </w:r>
          </w:p>
        </w:tc>
        <w:tc>
          <w:tcPr>
            <w:tcW w:type="dxa" w:w="4000"/>
          </w:tcPr>
          <w:p>
            <w:pPr>
              <w:spacing w:before="0" w:after="40"/>
              <w:jc w:val="left"/>
            </w:pPr>
            <w:r>
              <w:rPr>
                <w:rFonts w:ascii="Times New Roman" w:hAnsi="Times New Roman" w:eastAsia="Times New Roman" w:cs="Times New Roman"/>
                <w:b w:val="0"/>
                <w:i w:val="0"/>
                <w:caps w:val="0"/>
                <w:color w:val="000000"/>
                <w:sz w:val="24"/>
              </w:rPr>
              <w:t>55 lỗi, 0,75 lỗi trên 10 MD</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Lỗi còn mở khi bàn giao</w:t>
            </w:r>
          </w:p>
        </w:tc>
        <w:tc>
          <w:tcPr>
            <w:tcW w:type="dxa" w:w="4000"/>
          </w:tcPr>
          <w:p>
            <w:pPr>
              <w:spacing w:before="0" w:after="40"/>
              <w:jc w:val="left"/>
            </w:pPr>
            <w:r>
              <w:rPr>
                <w:rFonts w:ascii="Times New Roman" w:hAnsi="Times New Roman" w:eastAsia="Times New Roman" w:cs="Times New Roman"/>
                <w:b w:val="0"/>
                <w:i w:val="0"/>
                <w:caps w:val="0"/>
                <w:color w:val="000000"/>
                <w:sz w:val="24"/>
              </w:rPr>
              <w:t>0 lỗi</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Thời gian khắc phục trung bình</w:t>
            </w:r>
          </w:p>
        </w:tc>
        <w:tc>
          <w:tcPr>
            <w:tcW w:type="dxa" w:w="4000"/>
          </w:tcPr>
          <w:p>
            <w:pPr>
              <w:spacing w:before="0" w:after="40"/>
              <w:jc w:val="left"/>
            </w:pPr>
            <w:r>
              <w:rPr>
                <w:rFonts w:ascii="Times New Roman" w:hAnsi="Times New Roman" w:eastAsia="Times New Roman" w:cs="Times New Roman"/>
                <w:b w:val="0"/>
                <w:i w:val="0"/>
                <w:caps w:val="0"/>
                <w:color w:val="000000"/>
                <w:sz w:val="24"/>
              </w:rPr>
              <w:t>3,8 ngày làm việc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2000"/>
        <w:gridCol w:w="2100"/>
        <w:gridCol w:w="2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Mức độ</w:t>
            </w:r>
          </w:p>
        </w:tc>
        <w:tc>
          <w:tcPr>
            <w:tcW w:type="dxa" w:w="2000"/>
          </w:tcPr>
          <w:p>
            <w:pPr>
              <w:spacing w:before="0" w:after="40"/>
              <w:jc w:val="center"/>
            </w:pPr>
            <w:r>
              <w:rPr>
                <w:rFonts w:ascii="Times New Roman" w:hAnsi="Times New Roman" w:eastAsia="Times New Roman" w:cs="Times New Roman"/>
                <w:b w:val="0"/>
                <w:i w:val="0"/>
                <w:caps w:val="0"/>
                <w:color w:val="000000"/>
                <w:sz w:val="24"/>
              </w:rPr>
              <w:t>Tổng</w:t>
            </w:r>
          </w:p>
        </w:tc>
        <w:tc>
          <w:tcPr>
            <w:tcW w:type="dxa" w:w="2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2200"/>
          </w:tcPr>
          <w:p>
            <w:pPr>
              <w:spacing w:before="0" w:after="40"/>
              <w:jc w:val="center"/>
            </w:pPr>
            <w:r>
              <w:rPr>
                <w:rFonts w:ascii="Times New Roman" w:hAnsi="Times New Roman" w:eastAsia="Times New Roman" w:cs="Times New Roman"/>
                <w:b w:val="0"/>
                <w:i w:val="0"/>
                <w:caps w:val="0"/>
                <w:color w:val="000000"/>
                <w:sz w:val="24"/>
              </w:rPr>
              <w:t>Còn mở</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Nghiêm trọng</w:t>
            </w:r>
          </w:p>
        </w:tc>
        <w:tc>
          <w:tcPr>
            <w:tcW w:type="dxa" w:w="2000"/>
          </w:tcPr>
          <w:p>
            <w:pPr>
              <w:spacing w:before="0" w:after="40"/>
              <w:jc w:val="center"/>
            </w:pPr>
            <w:r>
              <w:rPr>
                <w:rFonts w:ascii="Times New Roman" w:hAnsi="Times New Roman" w:eastAsia="Times New Roman" w:cs="Times New Roman"/>
                <w:b w:val="0"/>
                <w:i w:val="0"/>
                <w:caps w:val="0"/>
                <w:color w:val="000000"/>
                <w:sz w:val="24"/>
              </w:rPr>
              <w:t>0</w:t>
            </w:r>
          </w:p>
        </w:tc>
        <w:tc>
          <w:tcPr>
            <w:tcW w:type="dxa" w:w="2100"/>
          </w:tcPr>
          <w:p>
            <w:pPr>
              <w:spacing w:before="0" w:after="40"/>
              <w:jc w:val="center"/>
            </w:pPr>
            <w:r>
              <w:rPr>
                <w:rFonts w:ascii="Times New Roman" w:hAnsi="Times New Roman" w:eastAsia="Times New Roman" w:cs="Times New Roman"/>
                <w:b w:val="0"/>
                <w:i w:val="0"/>
                <w:caps w:val="0"/>
                <w:color w:val="000000"/>
                <w:sz w:val="24"/>
              </w:rPr>
              <w:t>0</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Cao</w:t>
            </w:r>
          </w:p>
        </w:tc>
        <w:tc>
          <w:tcPr>
            <w:tcW w:type="dxa" w:w="2000"/>
          </w:tcPr>
          <w:p>
            <w:pPr>
              <w:spacing w:before="0" w:after="40"/>
              <w:jc w:val="center"/>
            </w:pPr>
            <w:r>
              <w:rPr>
                <w:rFonts w:ascii="Times New Roman" w:hAnsi="Times New Roman" w:eastAsia="Times New Roman" w:cs="Times New Roman"/>
                <w:b w:val="0"/>
                <w:i w:val="0"/>
                <w:caps w:val="0"/>
                <w:color w:val="000000"/>
                <w:sz w:val="24"/>
              </w:rPr>
              <w:t>6</w:t>
            </w:r>
          </w:p>
        </w:tc>
        <w:tc>
          <w:tcPr>
            <w:tcW w:type="dxa" w:w="2100"/>
          </w:tcPr>
          <w:p>
            <w:pPr>
              <w:spacing w:before="0" w:after="40"/>
              <w:jc w:val="center"/>
            </w:pPr>
            <w:r>
              <w:rPr>
                <w:rFonts w:ascii="Times New Roman" w:hAnsi="Times New Roman" w:eastAsia="Times New Roman" w:cs="Times New Roman"/>
                <w:b w:val="0"/>
                <w:i w:val="0"/>
                <w:caps w:val="0"/>
                <w:color w:val="000000"/>
                <w:sz w:val="24"/>
              </w:rPr>
              <w:t>6</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000"/>
          </w:tcPr>
          <w:p>
            <w:pPr>
              <w:spacing w:before="0" w:after="40"/>
              <w:jc w:val="center"/>
            </w:pPr>
            <w:r>
              <w:rPr>
                <w:rFonts w:ascii="Times New Roman" w:hAnsi="Times New Roman" w:eastAsia="Times New Roman" w:cs="Times New Roman"/>
                <w:b w:val="0"/>
                <w:i w:val="0"/>
                <w:caps w:val="0"/>
                <w:color w:val="000000"/>
                <w:sz w:val="24"/>
              </w:rPr>
              <w:t>25</w:t>
            </w:r>
          </w:p>
        </w:tc>
        <w:tc>
          <w:tcPr>
            <w:tcW w:type="dxa" w:w="2100"/>
          </w:tcPr>
          <w:p>
            <w:pPr>
              <w:spacing w:before="0" w:after="40"/>
              <w:jc w:val="center"/>
            </w:pPr>
            <w:r>
              <w:rPr>
                <w:rFonts w:ascii="Times New Roman" w:hAnsi="Times New Roman" w:eastAsia="Times New Roman" w:cs="Times New Roman"/>
                <w:b w:val="0"/>
                <w:i w:val="0"/>
                <w:caps w:val="0"/>
                <w:color w:val="000000"/>
                <w:sz w:val="24"/>
              </w:rPr>
              <w:t>25</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Thấp</w:t>
            </w:r>
          </w:p>
        </w:tc>
        <w:tc>
          <w:tcPr>
            <w:tcW w:type="dxa" w:w="2000"/>
          </w:tcPr>
          <w:p>
            <w:pPr>
              <w:spacing w:before="0" w:after="40"/>
              <w:jc w:val="center"/>
            </w:pPr>
            <w:r>
              <w:rPr>
                <w:rFonts w:ascii="Times New Roman" w:hAnsi="Times New Roman" w:eastAsia="Times New Roman" w:cs="Times New Roman"/>
                <w:b w:val="0"/>
                <w:i w:val="0"/>
                <w:caps w:val="0"/>
                <w:color w:val="000000"/>
                <w:sz w:val="24"/>
              </w:rPr>
              <w:t>24</w:t>
            </w:r>
          </w:p>
        </w:tc>
        <w:tc>
          <w:tcPr>
            <w:tcW w:type="dxa" w:w="2100"/>
          </w:tcPr>
          <w:p>
            <w:pPr>
              <w:spacing w:before="0" w:after="40"/>
              <w:jc w:val="center"/>
            </w:pPr>
            <w:r>
              <w:rPr>
                <w:rFonts w:ascii="Times New Roman" w:hAnsi="Times New Roman" w:eastAsia="Times New Roman" w:cs="Times New Roman"/>
                <w:b w:val="0"/>
                <w:i w:val="0"/>
                <w:caps w:val="0"/>
                <w:color w:val="000000"/>
                <w:sz w:val="24"/>
              </w:rPr>
              <w:t>24</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Tổng</w:t>
            </w:r>
          </w:p>
        </w:tc>
        <w:tc>
          <w:tcPr>
            <w:tcW w:type="dxa" w:w="2000"/>
          </w:tcPr>
          <w:p>
            <w:pPr>
              <w:spacing w:before="0" w:after="40"/>
              <w:jc w:val="center"/>
            </w:pPr>
            <w:r>
              <w:rPr>
                <w:rFonts w:ascii="Times New Roman" w:hAnsi="Times New Roman" w:eastAsia="Times New Roman" w:cs="Times New Roman"/>
                <w:b w:val="0"/>
                <w:i w:val="0"/>
                <w:caps w:val="0"/>
                <w:color w:val="000000"/>
                <w:sz w:val="24"/>
              </w:rPr>
              <w:t>55</w:t>
            </w:r>
          </w:p>
        </w:tc>
        <w:tc>
          <w:tcPr>
            <w:tcW w:type="dxa" w:w="2100"/>
          </w:tcPr>
          <w:p>
            <w:pPr>
              <w:spacing w:before="0" w:after="40"/>
              <w:jc w:val="center"/>
            </w:pPr>
            <w:r>
              <w:rPr>
                <w:rFonts w:ascii="Times New Roman" w:hAnsi="Times New Roman" w:eastAsia="Times New Roman" w:cs="Times New Roman"/>
                <w:b w:val="0"/>
                <w:i w:val="0"/>
                <w:caps w:val="0"/>
                <w:color w:val="000000"/>
                <w:sz w:val="24"/>
              </w:rPr>
              <w:t>55</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Mọi tiêu chí nghiệm thu đạt ngay lần đầu, số lần nghiệm thu lại là 0. Chỉ tiêu thời gian phản hồi không quá 2 giây đạt sau khi rủi ro RR06 xảy ra trong kiểm thử hiệu năng ở S7: nhóm tối ưu truy vấn và bộ nhớ đệm trang danh mục trong S7, đo lại đạt và đóng rủi ro ở S8.</w:t>
      </w:r>
    </w:p>
    <w:p>
      <w:pPr>
        <w:spacing w:before="0" w:after="100" w:line="300" w:lineRule="auto"/>
        <w:jc w:val="both"/>
      </w:pPr>
      <w:r>
        <w:rPr>
          <w:rFonts w:ascii="Times New Roman" w:hAnsi="Times New Roman" w:eastAsia="Times New Roman" w:cs="Times New Roman"/>
          <w:b w:val="0"/>
          <w:i w:val="0"/>
          <w:caps w:val="0"/>
          <w:color w:val="000000"/>
          <w:sz w:val="26"/>
        </w:rPr>
        <w:t>Tổng số lỗi ghi nhận là 55, mật độ 0,75 lỗi trên 10 MD, thời gian đóng trung bình 3,8 ngày làm việc, không có lỗi nghiêm trọng. Theo nhóm WBS, phân hệ đặt hàng có nhiều lỗi nhất (21 lỗi), tiếp theo là tích hợp hệ thống (12), quản lý thành viên (10), bán hàng trên sàn (7) và quản lý sản phẩm (5). Khi kết thúc không còn lỗi mở, yêu cầu phát sinh sau cut over xử lý theo cam kết bảo hành.</w:t>
      </w:r>
    </w:p>
    <w:p>
      <w:pPr>
        <w:pStyle w:val="Heading1"/>
        <w:keepNext/>
        <w:spacing w:before="240" w:after="120"/>
        <w:jc w:val="left"/>
      </w:pPr>
      <w:r>
        <w:rPr>
          <w:rFonts w:ascii="Times New Roman" w:hAnsi="Times New Roman" w:eastAsia="Times New Roman" w:cs="Times New Roman"/>
          <w:b w:val="0"/>
          <w:i w:val="0"/>
          <w:caps w:val="0"/>
          <w:color w:val="000000"/>
          <w:sz w:val="30"/>
        </w:rPr>
        <w:t>6. Thay đổi và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300"/>
        <w:gridCol w:w="1100"/>
        <w:gridCol w:w="1400"/>
        <w:gridCol w:w="800"/>
        <w:gridCol w:w="1300"/>
        <w:gridCol w:w="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3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800"/>
          </w:tcPr>
          <w:p>
            <w:pPr>
              <w:spacing w:before="0" w:after="40"/>
              <w:jc w:val="right"/>
            </w:pPr>
            <w:r>
              <w:rPr>
                <w:rFonts w:ascii="Times New Roman" w:hAnsi="Times New Roman" w:eastAsia="Times New Roman" w:cs="Times New Roman"/>
                <w:b w:val="0"/>
                <w:i w:val="0"/>
                <w:caps w:val="0"/>
                <w:color w:val="000000"/>
                <w:sz w:val="24"/>
              </w:rPr>
              <w:t>MD</w:t>
            </w:r>
          </w:p>
        </w:tc>
        <w:tc>
          <w:tcPr>
            <w:tcW w:type="dxa" w:w="1300"/>
          </w:tcPr>
          <w:p>
            <w:pPr>
              <w:spacing w:before="0" w:after="40"/>
              <w:jc w:val="right"/>
            </w:pPr>
            <w:r>
              <w:rPr>
                <w:rFonts w:ascii="Times New Roman" w:hAnsi="Times New Roman" w:eastAsia="Times New Roman" w:cs="Times New Roman"/>
                <w:b w:val="0"/>
                <w:i w:val="0"/>
                <w:caps w:val="0"/>
                <w:color w:val="000000"/>
                <w:sz w:val="24"/>
              </w:rPr>
              <w:t>Chi phí, đồng</w:t>
            </w:r>
          </w:p>
        </w:tc>
        <w:tc>
          <w:tcPr>
            <w:tcW w:type="dxa" w:w="700"/>
          </w:tcPr>
          <w:p>
            <w:pPr>
              <w:spacing w:before="0" w:after="40"/>
              <w:jc w:val="center"/>
            </w:pPr>
            <w:r>
              <w:rPr>
                <w:rFonts w:ascii="Times New Roman" w:hAnsi="Times New Roman" w:eastAsia="Times New Roman" w:cs="Times New Roman"/>
                <w:b w:val="0"/>
                <w:i w:val="0"/>
                <w:caps w:val="0"/>
                <w:color w:val="000000"/>
                <w:sz w:val="24"/>
              </w:rPr>
              <w:t>Xử lý, ngày</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3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14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800"/>
          </w:tcPr>
          <w:p>
            <w:pPr>
              <w:spacing w:before="0" w:after="40"/>
              <w:jc w:val="right"/>
            </w:pPr>
            <w:r>
              <w:rPr>
                <w:rFonts w:ascii="Times New Roman" w:hAnsi="Times New Roman" w:eastAsia="Times New Roman" w:cs="Times New Roman"/>
                <w:b w:val="0"/>
                <w:i w:val="0"/>
                <w:caps w:val="0"/>
                <w:color w:val="000000"/>
                <w:sz w:val="24"/>
              </w:rPr>
              <w:t>76</w:t>
            </w:r>
          </w:p>
        </w:tc>
        <w:tc>
          <w:tcPr>
            <w:tcW w:type="dxa" w:w="1300"/>
          </w:tcPr>
          <w:p>
            <w:pPr>
              <w:spacing w:before="0" w:after="40"/>
              <w:jc w:val="right"/>
            </w:pPr>
            <w:r>
              <w:rPr>
                <w:rFonts w:ascii="Times New Roman" w:hAnsi="Times New Roman" w:eastAsia="Times New Roman" w:cs="Times New Roman"/>
                <w:b w:val="0"/>
                <w:i w:val="0"/>
                <w:caps w:val="0"/>
                <w:color w:val="000000"/>
                <w:sz w:val="24"/>
              </w:rPr>
              <w:t>161.500.000</w:t>
            </w:r>
          </w:p>
        </w:tc>
        <w:tc>
          <w:tcPr>
            <w:tcW w:type="dxa" w:w="700"/>
          </w:tcPr>
          <w:p>
            <w:pPr>
              <w:spacing w:before="0" w:after="40"/>
              <w:jc w:val="center"/>
            </w:pPr>
            <w:r>
              <w:rPr>
                <w:rFonts w:ascii="Times New Roman" w:hAnsi="Times New Roman" w:eastAsia="Times New Roman" w:cs="Times New Roman"/>
                <w:b w:val="0"/>
                <w:i w:val="0"/>
                <w:caps w:val="0"/>
                <w:color w:val="000000"/>
                <w:sz w:val="24"/>
              </w:rPr>
              <w:t>5</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300"/>
        <w:gridCol w:w="800"/>
        <w:gridCol w:w="16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3300"/>
          </w:tcPr>
          <w:p>
            <w:pPr>
              <w:spacing w:before="0" w:after="40"/>
              <w:jc w:val="left"/>
            </w:pPr>
            <w:r>
              <w:rPr>
                <w:rFonts w:ascii="Times New Roman" w:hAnsi="Times New Roman" w:eastAsia="Times New Roman" w:cs="Times New Roman"/>
                <w:b w:val="0"/>
                <w:i w:val="0"/>
                <w:caps w:val="0"/>
                <w:color w:val="000000"/>
                <w:sz w:val="24"/>
              </w:rPr>
              <w:t>Hành động ứng phó</w:t>
            </w:r>
          </w:p>
        </w:tc>
        <w:tc>
          <w:tcPr>
            <w:tcW w:type="dxa" w:w="800"/>
          </w:tcPr>
          <w:p>
            <w:pPr>
              <w:spacing w:before="0" w:after="40"/>
              <w:jc w:val="right"/>
            </w:pPr>
            <w:r>
              <w:rPr>
                <w:rFonts w:ascii="Times New Roman" w:hAnsi="Times New Roman" w:eastAsia="Times New Roman" w:cs="Times New Roman"/>
                <w:b w:val="0"/>
                <w:i w:val="0"/>
                <w:caps w:val="0"/>
                <w:color w:val="000000"/>
                <w:sz w:val="24"/>
              </w:rPr>
              <w:t>MD</w:t>
            </w:r>
          </w:p>
        </w:tc>
        <w:tc>
          <w:tcPr>
            <w:tcW w:type="dxa" w:w="1600"/>
          </w:tcPr>
          <w:p>
            <w:pPr>
              <w:spacing w:before="0" w:after="40"/>
              <w:jc w:val="right"/>
            </w:pPr>
            <w:r>
              <w:rPr>
                <w:rFonts w:ascii="Times New Roman" w:hAnsi="Times New Roman" w:eastAsia="Times New Roman" w:cs="Times New Roman"/>
                <w:b w:val="0"/>
                <w:i w:val="0"/>
                <w:caps w:val="0"/>
                <w:color w:val="000000"/>
                <w:sz w:val="24"/>
              </w:rPr>
              <w:t>Chi phí,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9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33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Ninh Đức Toàn lập danh sách thông tin còn thiếu, Trần Bá Đạt gửi văn bản đề nghị Chủ đầu tư trong ngày, nhóm tích hợp chuẩn bị dịch vụ giả lập. Tài liệu đặc tả giao diện Main System nhận ngày 19/04/2027, muộn 2 ngày làm việc so với CK1. Ninh Đức Toàn đối chiếu tài liệu với danh sách thông tin còn thiếu, Trần Bá Đạt làm đặc tả giao diện tích hợp ngay khi nhận tài liệu, nhóm tích hợp tiếp tục chuẩn bị dịch vụ giả lập</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1600"/>
          </w:tcPr>
          <w:p>
            <w:pPr>
              <w:spacing w:before="0" w:after="40"/>
              <w:jc w:val="right"/>
            </w:pPr>
            <w:r>
              <w:rPr>
                <w:rFonts w:ascii="Times New Roman" w:hAnsi="Times New Roman" w:eastAsia="Times New Roman" w:cs="Times New Roman"/>
                <w:b w:val="0"/>
                <w:i w:val="0"/>
                <w:caps w:val="0"/>
                <w:color w:val="000000"/>
                <w:sz w:val="24"/>
              </w:rPr>
              <w:t>2.100.000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9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3300"/>
          </w:tcPr>
          <w:p>
            <w:pPr>
              <w:spacing w:before="0" w:after="40"/>
              <w:jc w:val="left"/>
            </w:pPr>
            <w:r>
              <w:rPr>
                <w:rFonts w:ascii="Times New Roman" w:hAnsi="Times New Roman" w:eastAsia="Times New Roman" w:cs="Times New Roman"/>
                <w:b w:val="0"/>
                <w:i w:val="0"/>
                <w:caps w:val="0"/>
                <w:color w:val="000000"/>
                <w:sz w:val="24"/>
              </w:rPr>
              <w:t>Trần Bá Đạt xác nhận ngày có mặt của Trần Thu Hà, Nguyễn Thị Phương Liên chuẩn bị khung kế hoạch bảo đảm chất lượng để bàn giao, gói 2.1.1 làm bù trong tuần đầu sprint. Điều kiện đóng đạt</w:t>
            </w:r>
          </w:p>
        </w:tc>
        <w:tc>
          <w:tcPr>
            <w:tcW w:type="dxa" w:w="800"/>
          </w:tcPr>
          <w:p>
            <w:pPr>
              <w:spacing w:before="0" w:after="40"/>
              <w:jc w:val="right"/>
            </w:pPr>
            <w:r>
              <w:rPr>
                <w:rFonts w:ascii="Times New Roman" w:hAnsi="Times New Roman" w:eastAsia="Times New Roman" w:cs="Times New Roman"/>
                <w:b w:val="0"/>
                <w:i w:val="0"/>
                <w:caps w:val="0"/>
                <w:color w:val="000000"/>
                <w:sz w:val="24"/>
              </w:rPr>
              <w:t>0,50</w:t>
            </w:r>
          </w:p>
        </w:tc>
        <w:tc>
          <w:tcPr>
            <w:tcW w:type="dxa" w:w="1600"/>
          </w:tcPr>
          <w:p>
            <w:pPr>
              <w:spacing w:before="0" w:after="40"/>
              <w:jc w:val="right"/>
            </w:pPr>
            <w:r>
              <w:rPr>
                <w:rFonts w:ascii="Times New Roman" w:hAnsi="Times New Roman" w:eastAsia="Times New Roman" w:cs="Times New Roman"/>
                <w:b w:val="0"/>
                <w:i w:val="0"/>
                <w:caps w:val="0"/>
                <w:color w:val="000000"/>
                <w:sz w:val="24"/>
              </w:rPr>
              <w:t>1.050.000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29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3300"/>
          </w:tcPr>
          <w:p>
            <w:pPr>
              <w:spacing w:before="0" w:after="40"/>
              <w:jc w:val="left"/>
            </w:pPr>
            <w:r>
              <w:rPr>
                <w:rFonts w:ascii="Times New Roman" w:hAnsi="Times New Roman" w:eastAsia="Times New Roman" w:cs="Times New Roman"/>
                <w:b w:val="0"/>
                <w:i w:val="0"/>
                <w:caps w:val="0"/>
                <w:color w:val="000000"/>
                <w:sz w:val="24"/>
              </w:rPr>
              <w:t>Kích hoạt kế hoạch ứng phó khi kết quả kiểm thử hiệu năng cho thời gian phản hồi trang danh mục 2,6 giây ở mức tải 500 người dùng đồng thời. Đỗ Minh Quân tối ưu truy vấn danh mục và bộ nhớ đệm thay Phạm Tuấn Anh (không huy động trong S7), Ninh Đức Toàn rà soát cấu hình mở rộng nút ứng dụng trên môi trường vận hành, Phạm Ngọc Anh đo lại sau tối ưu</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1600"/>
          </w:tcPr>
          <w:p>
            <w:pPr>
              <w:spacing w:before="0" w:after="40"/>
              <w:jc w:val="right"/>
            </w:pPr>
            <w:r>
              <w:rPr>
                <w:rFonts w:ascii="Times New Roman" w:hAnsi="Times New Roman" w:eastAsia="Times New Roman" w:cs="Times New Roman"/>
                <w:b w:val="0"/>
                <w:i w:val="0"/>
                <w:caps w:val="0"/>
                <w:color w:val="000000"/>
                <w:sz w:val="24"/>
              </w:rPr>
              <w:t>2.100.000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29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3300"/>
          </w:tcPr>
          <w:p>
            <w:pPr>
              <w:spacing w:before="0" w:after="40"/>
              <w:jc w:val="left"/>
            </w:pPr>
            <w:r>
              <w:rPr>
                <w:rFonts w:ascii="Times New Roman" w:hAnsi="Times New Roman" w:eastAsia="Times New Roman" w:cs="Times New Roman"/>
                <w:b w:val="0"/>
                <w:i w:val="0"/>
                <w:caps w:val="0"/>
                <w:color w:val="000000"/>
                <w:sz w:val="24"/>
              </w:rPr>
              <w:t>Khai thác cơ hội: tái sử dụng khung định tuyến và quản lý trạng thái giao diện từ hợp đồng tương tự cho gói 4.3.3, lợi ích đã phản ánh trong công thực tế của gói nên không ghi tác động riêng</w:t>
            </w:r>
          </w:p>
        </w:tc>
        <w:tc>
          <w:tcPr>
            <w:tcW w:type="dxa" w:w="800"/>
          </w:tcPr>
          <w:p>
            <w:pPr>
              <w:spacing w:before="0" w:after="40"/>
              <w:jc w:val="right"/>
            </w:pPr>
            <w:r>
              <w:rPr>
                <w:rFonts w:ascii="Times New Roman" w:hAnsi="Times New Roman" w:eastAsia="Times New Roman" w:cs="Times New Roman"/>
                <w:b w:val="0"/>
                <w:i w:val="0"/>
                <w:caps w:val="0"/>
                <w:color w:val="000000"/>
                <w:sz w:val="24"/>
              </w:rPr>
              <w:t>0,00</w:t>
            </w:r>
          </w:p>
        </w:tc>
        <w:tc>
          <w:tcPr>
            <w:tcW w:type="dxa" w:w="1600"/>
          </w:tcPr>
          <w:p>
            <w:pPr>
              <w:spacing w:before="0" w:after="40"/>
              <w:jc w:val="right"/>
            </w:pPr>
            <w:r>
              <w:rPr>
                <w:rFonts w:ascii="Times New Roman" w:hAnsi="Times New Roman" w:eastAsia="Times New Roman" w:cs="Times New Roman"/>
                <w:b w:val="0"/>
                <w:i w:val="0"/>
                <w:caps w:val="0"/>
                <w:color w:val="000000"/>
                <w:sz w:val="24"/>
              </w:rPr>
              <w:t>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có 1 yêu cầu thay đổi, được quyết định đúng thời hạn. Phụ lục 01/2027/PL-ABCW điều chỉnh giá hợp đồng thêm 199.024.682 đồng (chi phí nội bộ ước tính của nhà thầu 161.500.000 đồng), tăng 76 MD và lùi cut over 20 ngày làm việc. Yêu cầu đã đóng sau khi phần bán hàng trên sàn được nghiệm thu và các tài liệu kế hoạch được cập nhật thành đường cơ sở BL2.</w:t>
      </w:r>
    </w:p>
    <w:p>
      <w:pPr>
        <w:spacing w:before="0" w:after="100" w:line="300" w:lineRule="auto"/>
        <w:jc w:val="both"/>
      </w:pPr>
      <w:r>
        <w:rPr>
          <w:rFonts w:ascii="Times New Roman" w:hAnsi="Times New Roman" w:eastAsia="Times New Roman" w:cs="Times New Roman"/>
          <w:b w:val="0"/>
          <w:i w:val="0"/>
          <w:caps w:val="0"/>
          <w:color w:val="000000"/>
          <w:sz w:val="26"/>
        </w:rPr>
        <w:t>Trong 22 rủi ro của sổ đăng ký, 3 đe dọa đã xảy ra là RR02 (tài liệu Main System đến muộn), RR04 (vị trí bổ sung có mặt muộn) và RR06 (thời gian phản hồi vượt 2 giây), đều đã xử lý theo kế hoạch ứng phó, và 1 cơ hội đã xảy ra là RR20 (tái sử dụng khung giao diện từ hợp đồng tương tự cho gói 4.3.3), lợi ích đã phản ánh trong công thực tế của gói. Tác động thực tế 2,50 MD, thấp hơn nhiều so với tổng EMV 47,60 MD, tỷ lệ dùng dự phòng tương đương 10,5%. Không có rủi ro mới phát sinh ngoài sổ.</w:t>
      </w:r>
    </w:p>
    <w:p>
      <w:pPr>
        <w:pStyle w:val="Heading1"/>
        <w:keepNext/>
        <w:spacing w:before="240" w:after="120"/>
        <w:jc w:val="left"/>
      </w:pPr>
      <w:r>
        <w:rPr>
          <w:rFonts w:ascii="Times New Roman" w:hAnsi="Times New Roman" w:eastAsia="Times New Roman" w:cs="Times New Roman"/>
          <w:b w:val="0"/>
          <w:i w:val="0"/>
          <w:caps w:val="0"/>
          <w:color w:val="000000"/>
          <w:sz w:val="30"/>
        </w:rPr>
        <w:t>7. Bàn giao và công việc sau dự án</w:t>
      </w:r>
    </w:p>
    <w:p>
      <w:pPr>
        <w:spacing w:before="0" w:after="100" w:line="300" w:lineRule="auto"/>
        <w:jc w:val="both"/>
      </w:pPr>
      <w:r>
        <w:rPr>
          <w:rFonts w:ascii="Times New Roman" w:hAnsi="Times New Roman" w:eastAsia="Times New Roman" w:cs="Times New Roman"/>
          <w:b w:val="0"/>
          <w:i w:val="0"/>
          <w:caps w:val="0"/>
          <w:color w:val="000000"/>
          <w:sz w:val="26"/>
        </w:rPr>
        <w:t>Không còn lỗi mở khi bàn giao.</w:t>
      </w:r>
    </w:p>
    <w:p>
      <w:pPr>
        <w:spacing w:before="0" w:after="100" w:line="300" w:lineRule="auto"/>
        <w:jc w:val="both"/>
      </w:pPr>
      <w:r>
        <w:rPr>
          <w:rFonts w:ascii="Times New Roman" w:hAnsi="Times New Roman" w:eastAsia="Times New Roman" w:cs="Times New Roman"/>
          <w:b w:val="0"/>
          <w:i w:val="0"/>
          <w:caps w:val="0"/>
          <w:color w:val="000000"/>
          <w:sz w:val="26"/>
        </w:rPr>
        <w:t>Sổ vấn đề ghi nhận 14 vấn đề, đã đóng 14, còn mở 0 (quá hạn 0) tại ngày 12/08/2027.</w:t>
      </w:r>
    </w:p>
    <w:p>
      <w:pPr>
        <w:spacing w:before="0" w:after="100" w:line="300" w:lineRule="auto"/>
        <w:jc w:val="both"/>
      </w:pPr>
      <w:r>
        <w:rPr>
          <w:rFonts w:ascii="Times New Roman" w:hAnsi="Times New Roman" w:eastAsia="Times New Roman" w:cs="Times New Roman"/>
          <w:b w:val="0"/>
          <w:i w:val="0"/>
          <w:caps w:val="0"/>
          <w:color w:val="000000"/>
          <w:sz w:val="26"/>
        </w:rPr>
        <w:t>Không còn vấn đề mở trong sổ vấn đề khi kết thúc dự án.</w:t>
      </w:r>
    </w:p>
    <w:p>
      <w:pPr>
        <w:spacing w:before="0" w:after="100" w:line="300" w:lineRule="auto"/>
        <w:jc w:val="both"/>
      </w:pPr>
      <w:r>
        <w:rPr>
          <w:rFonts w:ascii="Times New Roman" w:hAnsi="Times New Roman" w:eastAsia="Times New Roman" w:cs="Times New Roman"/>
          <w:b w:val="0"/>
          <w:i w:val="0"/>
          <w:caps w:val="0"/>
          <w:color w:val="000000"/>
          <w:sz w:val="26"/>
        </w:rPr>
        <w:t>Không còn hành động chưa hoàn thành.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200"/>
        <w:gridCol w:w="1900"/>
        <w:gridCol w:w="1400"/>
        <w:gridCol w:w="1800"/>
      </w:tblGrid>
      <w:tr>
        <w:trPr>
          <w:tblHeader w:val="true"/>
        </w:trPr>
        <w:tc>
          <w:tcPr>
            <w:tcW w:type="dxa" w:w="42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900"/>
          </w:tcPr>
          <w:p>
            <w:pPr>
              <w:spacing w:before="0" w:after="40"/>
              <w:jc w:val="left"/>
            </w:pPr>
            <w:r>
              <w:rPr>
                <w:rFonts w:ascii="Times New Roman" w:hAnsi="Times New Roman" w:eastAsia="Times New Roman" w:cs="Times New Roman"/>
                <w:b w:val="0"/>
                <w:i w:val="0"/>
                <w:caps w:val="0"/>
                <w:color w:val="000000"/>
                <w:sz w:val="24"/>
              </w:rPr>
              <w:t>Người phụ trách</w:t>
            </w:r>
          </w:p>
        </w:tc>
        <w:tc>
          <w:tcPr>
            <w:tcW w:type="dxa" w:w="14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8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 (đã ký biên bản tại mốc M7)</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29/07/2027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hoàn thành</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Hỗ trợ tăng cường sau cut over: Trực hỗ trợ trong giờ hành chính, theo dõi cảnh báo và xử lý sự cố, nằm trong chi phí bảo hành</w:t>
            </w:r>
          </w:p>
        </w:tc>
        <w:tc>
          <w:tcPr>
            <w:tcW w:type="dxa" w:w="1900"/>
          </w:tcPr>
          <w:p>
            <w:pPr>
              <w:spacing w:before="0" w:after="40"/>
              <w:jc w:val="left"/>
            </w:pPr>
            <w:r>
              <w:rPr>
                <w:rFonts w:ascii="Times New Roman" w:hAnsi="Times New Roman" w:eastAsia="Times New Roman" w:cs="Times New Roman"/>
                <w:b w:val="0"/>
                <w:i w:val="0"/>
                <w:caps w:val="0"/>
                <w:color w:val="000000"/>
                <w:sz w:val="24"/>
              </w:rPr>
              <w:t>Chưa ghi nhận trong nhật ký công việc</w:t>
            </w:r>
          </w:p>
        </w:tc>
        <w:tc>
          <w:tcPr>
            <w:tcW w:type="dxa" w:w="1400"/>
          </w:tcPr>
          <w:p>
            <w:pPr>
              <w:spacing w:before="0" w:after="40"/>
              <w:jc w:val="left"/>
            </w:pPr>
            <w:r>
              <w:rPr>
                <w:rFonts w:ascii="Times New Roman" w:hAnsi="Times New Roman" w:eastAsia="Times New Roman" w:cs="Times New Roman"/>
                <w:b w:val="0"/>
                <w:i w:val="0"/>
                <w:caps w:val="0"/>
                <w:color w:val="000000"/>
                <w:sz w:val="24"/>
              </w:rPr>
              <w:t>30/07/2027 đến 12/08/2027</w:t>
            </w:r>
          </w:p>
        </w:tc>
        <w:tc>
          <w:tcPr>
            <w:tcW w:type="dxa" w:w="1800"/>
          </w:tcPr>
          <w:p>
            <w:pPr>
              <w:spacing w:before="0" w:after="40"/>
              <w:jc w:val="left"/>
            </w:pPr>
            <w:r>
              <w:rPr>
                <w:rFonts w:ascii="Times New Roman" w:hAnsi="Times New Roman" w:eastAsia="Times New Roman" w:cs="Times New Roman"/>
                <w:b w:val="0"/>
                <w:i w:val="0"/>
                <w:caps w:val="0"/>
                <w:color w:val="000000"/>
                <w:sz w:val="24"/>
              </w:rPr>
              <w:t>Nhật ký công việc giai đoạn Kết thúc chỉ ghi gói báo cáo tổng kết 1.1.5, chưa có dữ liệu xác nhận người trực và kết quả hỗ trợ</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Bảo hành, khắc phục sai sót 12 tháng từ ngày cut over, tiếp nhận yêu cầu qua đầu mối của Chủ đầu tư</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29/07/2027 đến 29/07/2028</w:t>
            </w:r>
          </w:p>
        </w:tc>
        <w:tc>
          <w:tcPr>
            <w:tcW w:type="dxa" w:w="1800"/>
          </w:tcPr>
          <w:p>
            <w:pPr>
              <w:spacing w:before="0" w:after="40"/>
              <w:jc w:val="left"/>
            </w:pPr>
            <w:r>
              <w:rPr>
                <w:rFonts w:ascii="Times New Roman" w:hAnsi="Times New Roman" w:eastAsia="Times New Roman" w:cs="Times New Roman"/>
                <w:b w:val="0"/>
                <w:i w:val="0"/>
                <w:caps w:val="0"/>
                <w:color w:val="000000"/>
                <w:sz w:val="24"/>
              </w:rPr>
              <w:t>Nghĩa vụ bảo hành đã cam kết theo khoản B2</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Hồ sơ thanh toán Đợt 4, Đợt 5 theo hợp đồng và Đợt 6 theo phụ lục hợp đồng</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12/08/2027</w:t>
            </w:r>
          </w:p>
        </w:tc>
        <w:tc>
          <w:tcPr>
            <w:tcW w:type="dxa" w:w="1800"/>
          </w:tcPr>
          <w:p>
            <w:pPr>
              <w:spacing w:before="0" w:after="40"/>
              <w:jc w:val="left"/>
            </w:pPr>
            <w:r>
              <w:rPr>
                <w:rFonts w:ascii="Times New Roman" w:hAnsi="Times New Roman" w:eastAsia="Times New Roman" w:cs="Times New Roman"/>
                <w:b w:val="0"/>
                <w:i w:val="0"/>
                <w:caps w:val="0"/>
                <w:color w:val="000000"/>
                <w:sz w:val="24"/>
              </w:rPr>
              <w:t>Chủ đầu tư thanh toán trong thời hạn của hợp đồng</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Lưu trữ hồ sơ dự án, sổ phiên bản và nhật ký, thanh lý hợp đồng sau khi hết thời hạn bảo hành</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Sau 29/07/2028</w:t>
            </w:r>
          </w:p>
        </w:tc>
        <w:tc>
          <w:tcPr>
            <w:tcW w:type="dxa" w:w="1800"/>
          </w:tcPr>
          <w:p>
            <w:pPr>
              <w:spacing w:before="0" w:after="40"/>
              <w:jc w:val="left"/>
            </w:pPr>
            <w:r>
              <w:rPr>
                <w:rFonts w:ascii="Times New Roman" w:hAnsi="Times New Roman" w:eastAsia="Times New Roman" w:cs="Times New Roman"/>
                <w:b w:val="0"/>
                <w:i w:val="0"/>
                <w:caps w:val="0"/>
                <w:color w:val="000000"/>
                <w:sz w:val="24"/>
              </w:rPr>
              <w:t>Không còn vấn đề tồn đọng trong sổ vấn đề</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8. Kết luận</w:t>
      </w:r>
    </w:p>
    <w:p>
      <w:pPr>
        <w:spacing w:before="0" w:after="100" w:line="300" w:lineRule="auto"/>
        <w:jc w:val="both"/>
      </w:pPr>
      <w:r>
        <w:rPr>
          <w:rFonts w:ascii="Times New Roman" w:hAnsi="Times New Roman" w:eastAsia="Times New Roman" w:cs="Times New Roman"/>
          <w:b w:val="0"/>
          <w:i w:val="0"/>
          <w:caps w:val="0"/>
          <w:color w:val="000000"/>
          <w:sz w:val="26"/>
        </w:rPr>
        <w:t>Nhà thầu đã hoàn thành các nghĩa vụ của hợp đồng và phụ lục hợp đồng trong giai đoạn thực hiện, hệ thống vận hành đúng ngày cam kết và được Chủ đầu tư nghiệm thu.</w:t>
      </w:r>
    </w:p>
    <w:p>
      <w:pPr>
        <w:spacing w:before="0" w:after="100" w:line="300" w:lineRule="auto"/>
        <w:jc w:val="both"/>
      </w:pPr>
      <w:r>
        <w:rPr>
          <w:rFonts w:ascii="Times New Roman" w:hAnsi="Times New Roman" w:eastAsia="Times New Roman" w:cs="Times New Roman"/>
          <w:b w:val="0"/>
          <w:i w:val="0"/>
          <w:caps w:val="0"/>
          <w:color w:val="000000"/>
          <w:sz w:val="26"/>
        </w:rPr>
        <w:t>Nhà thầu đề nghị Chủ đầu tư ký biên bản nghiệm thu tổng thể, thanh toán các đợt còn lại theo hợp đồng và phụ lục, tiến hành thanh lý hợp đồng khi hết thời hạn bảo hành.</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tổng kết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dc:title>
  <dc:subject/>
  <dc:creator>Trần Bá Đạt</dc:creator>
  <cp:keywords/>
  <dc:description/>
  <cp:lastModifiedBy>Trần Bá Đạt</cp:lastModifiedBy>
  <cp:revision>1</cp:revision>
  <dcterms:created xsi:type="dcterms:W3CDTF">2026-10-25T19:08:09Z</dcterms:created>
  <dcterms:modified xsi:type="dcterms:W3CDTF">2026-10-25T19:08:09Z</dcterms:modified>
  <cp:category/>
</cp:coreProperties>
</file>