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8"/>
        </w:rPr>
        <w:t>Mẫu số 5A</w:t>
      </w:r>
    </w:p>
    <w:p>
      <w:pPr>
        <w:spacing w:before="0" w:after="120"/>
        <w:jc w:val="center"/>
      </w:pPr>
      <w:r>
        <w:rPr>
          <w:rFonts w:ascii="Times New Roman" w:hAnsi="Times New Roman" w:eastAsia="Times New Roman" w:cs="Times New Roman"/>
          <w:b w:val="0"/>
          <w:i w:val="0"/>
          <w:caps w:val="0"/>
          <w:color w:val="000000"/>
          <w:sz w:val="36"/>
        </w:rPr>
        <w:t>Hồ sơ mời thầu</w:t>
      </w:r>
    </w:p>
    <w:p>
      <w:pPr>
        <w:spacing w:before="0" w:after="120"/>
        <w:jc w:val="center"/>
      </w:pPr>
      <w:r>
        <w:rPr>
          <w:rFonts w:ascii="Times New Roman" w:hAnsi="Times New Roman" w:eastAsia="Times New Roman" w:cs="Times New Roman"/>
          <w:b w:val="0"/>
          <w:i w:val="0"/>
          <w:caps w:val="0"/>
          <w:color w:val="000000"/>
          <w:sz w:val="30"/>
        </w:rPr>
        <w:t>Dịch vụ phi tư vấn qua mạng</w:t>
      </w:r>
    </w:p>
    <w:p>
      <w:pPr>
        <w:spacing w:before="0" w:after="120"/>
        <w:jc w:val="center"/>
      </w:pPr>
      <w:r>
        <w:rPr>
          <w:rFonts w:ascii="Times New Roman" w:hAnsi="Times New Roman" w:eastAsia="Times New Roman" w:cs="Times New Roman"/>
          <w:b w:val="0"/>
          <w:i w:val="0"/>
          <w:caps w:val="0"/>
          <w:color w:val="000000"/>
          <w:sz w:val="30"/>
        </w:rPr>
        <w:t>Một giai đoạn một túi hồ sơ</w:t>
      </w:r>
    </w:p>
    <w:p>
      <w:pPr>
        <w:spacing w:before="0" w:after="120"/>
        <w:jc w:val="center"/>
      </w:pPr>
      <w:r>
        <w:rPr>
          <w:rFonts w:ascii="Times New Roman" w:hAnsi="Times New Roman" w:eastAsia="Times New Roman" w:cs="Times New Roman"/>
          <w:b w:val="0"/>
          <w:i w:val="0"/>
          <w:caps w:val="0"/>
          <w:color w:val="000000"/>
          <w:sz w:val="26"/>
        </w:rPr>
        <w:t>(Ban hành kèm theo Thông tư số 79/2025/TT-BTC ngày 04 tháng 8 năm 2025 của Bộ trưởng Bộ Tài chính)</w:t>
      </w:r>
    </w:p>
    <w:p/>
    <w:p>
      <w:pPr>
        <w:spacing w:before="0" w:after="120"/>
        <w:jc w:val="center"/>
      </w:pPr>
      <w:r>
        <w:rPr>
          <w:rFonts w:ascii="Times New Roman" w:hAnsi="Times New Roman" w:eastAsia="Times New Roman" w:cs="Times New Roman"/>
          <w:b w:val="0"/>
          <w:i w:val="0"/>
          <w:caps w:val="0"/>
          <w:color w:val="000000"/>
          <w:sz w:val="28"/>
        </w:rPr>
        <w:t>Chủ đầu tư: Công ty Cổ phần ABC Wear</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4300"/>
        <w:gridCol w:w="5300"/>
      </w:tblGrid>
      <w:tr>
        <w:tc>
          <w:tcPr>
            <w:tcW w:type="dxa" w:w="4300"/>
          </w:tcPr>
          <w:p>
            <w:pPr>
              <w:spacing w:before="0" w:after="60"/>
              <w:jc w:val="left"/>
            </w:pPr>
            <w:r>
              <w:rPr>
                <w:rFonts w:ascii="Times New Roman" w:hAnsi="Times New Roman" w:eastAsia="Times New Roman" w:cs="Times New Roman"/>
                <w:b w:val="0"/>
                <w:i w:val="0"/>
                <w:caps w:val="0"/>
                <w:color w:val="000000"/>
                <w:sz w:val="26"/>
              </w:rPr>
              <w:t>Số hiệu gói thầu và số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Theo E-TBMT trên Hệ thống</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Tên gói thầu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Dịch vụ xây dựng và triển khai hệ thống website bán hàng trực tuyến (Web Selling Site System)</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Dự án/Dự toán mua sắm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Phát triển kênh bán hàng trực tuyến của Công ty Cổ phần ABC Wear</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Phát hành ngày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22/02/2027</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Ban hành kèm theo Quyết định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Quyết định phê duyệt E-HSMT của Công ty Cổ phần ABC Wear, theo E-TBMT trên Hệ thống</w:t>
            </w:r>
          </w:p>
        </w:tc>
      </w:tr>
    </w:tbl>
    <w:p/>
    <w:p>
      <w:pPr>
        <w:spacing w:before="0" w:after="120"/>
        <w:jc w:val="center"/>
      </w:pPr>
      <w:r>
        <w:rPr>
          <w:rFonts w:ascii="Times New Roman" w:hAnsi="Times New Roman" w:eastAsia="Times New Roman" w:cs="Times New Roman"/>
          <w:b w:val="0"/>
          <w:i w:val="0"/>
          <w:caps w:val="0"/>
          <w:color w:val="000000"/>
          <w:sz w:val="26"/>
        </w:rPr>
        <w:t>Hà Nội, 2027</w:t>
      </w:r>
    </w:p>
    <w:p>
      <w:r>
        <w:br w:type="page"/>
      </w:r>
    </w:p>
    <w:p>
      <w:pPr>
        <w:spacing w:before="0" w:after="120"/>
        <w:jc w:val="center"/>
      </w:pPr>
      <w:r>
        <w:rPr>
          <w:rFonts w:ascii="Times New Roman" w:hAnsi="Times New Roman" w:eastAsia="Times New Roman" w:cs="Times New Roman"/>
          <w:b w:val="0"/>
          <w:i w:val="0"/>
          <w:caps w:val="0"/>
          <w:color w:val="000000"/>
          <w:sz w:val="30"/>
        </w:rPr>
        <w:t>Thông tin chính của E-TBMT</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3300"/>
        <w:gridCol w:w="6300"/>
      </w:tblGrid>
      <w:tr>
        <w:trPr>
          <w:tblHeader/>
        </w:trPr>
        <w:tc>
          <w:tcPr>
            <w:tcW w:type="dxa" w:w="3300"/>
          </w:tcPr>
          <w:p>
            <w:pPr>
              <w:spacing w:before="0" w:after="60"/>
              <w:jc w:val="left"/>
            </w:pPr>
            <w:r>
              <w:rPr>
                <w:rFonts w:ascii="Times New Roman" w:hAnsi="Times New Roman" w:eastAsia="Times New Roman" w:cs="Times New Roman"/>
                <w:b w:val="0"/>
                <w:i w:val="0"/>
                <w:caps w:val="0"/>
                <w:color w:val="000000"/>
                <w:sz w:val="26"/>
              </w:rPr>
              <w:t>Nội dung</w:t>
            </w:r>
          </w:p>
        </w:tc>
        <w:tc>
          <w:tcPr>
            <w:tcW w:type="dxa" w:w="6300"/>
          </w:tcPr>
          <w:p>
            <w:pPr>
              <w:spacing w:before="0" w:after="60"/>
              <w:jc w:val="left"/>
            </w:pPr>
            <w:r>
              <w:rPr>
                <w:rFonts w:ascii="Times New Roman" w:hAnsi="Times New Roman" w:eastAsia="Times New Roman" w:cs="Times New Roman"/>
                <w:b w:val="0"/>
                <w:i w:val="0"/>
                <w:caps w:val="0"/>
                <w:color w:val="000000"/>
                <w:sz w:val="26"/>
              </w:rPr>
              <w:t>Thông tin</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6300"/>
          </w:tcPr>
          <w:p>
            <w:pPr>
              <w:spacing w:before="0" w:after="60"/>
              <w:jc w:val="left"/>
            </w:pPr>
            <w:r>
              <w:rPr>
                <w:rFonts w:ascii="Times New Roman" w:hAnsi="Times New Roman" w:eastAsia="Times New Roman" w:cs="Times New Roman"/>
                <w:b w:val="0"/>
                <w:i w:val="0"/>
                <w:caps w:val="0"/>
                <w:color w:val="000000"/>
                <w:sz w:val="26"/>
              </w:rPr>
              <w:t>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Tên gói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Dịch vụ xây dựng và triển khai hệ thống website bán hàng trực tuyến (Web Selling Site System)</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Dự án</w:t>
            </w:r>
          </w:p>
        </w:tc>
        <w:tc>
          <w:tcPr>
            <w:tcW w:type="dxa" w:w="6300"/>
          </w:tcPr>
          <w:p>
            <w:pPr>
              <w:spacing w:before="0" w:after="60"/>
              <w:jc w:val="left"/>
            </w:pPr>
            <w:r>
              <w:rPr>
                <w:rFonts w:ascii="Times New Roman" w:hAnsi="Times New Roman" w:eastAsia="Times New Roman" w:cs="Times New Roman"/>
                <w:b w:val="0"/>
                <w:i w:val="0"/>
                <w:caps w:val="0"/>
                <w:color w:val="000000"/>
                <w:sz w:val="26"/>
              </w:rPr>
              <w:t>Phát triển kênh bán hàng trực tuyến của 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Căn cứ áp dụng</w:t>
            </w:r>
          </w:p>
        </w:tc>
        <w:tc>
          <w:tcPr>
            <w:tcW w:type="dxa" w:w="6300"/>
          </w:tcPr>
          <w:p>
            <w:pPr>
              <w:spacing w:before="0" w:after="60"/>
              <w:jc w:val="left"/>
            </w:pPr>
            <w:r>
              <w:rPr>
                <w:rFonts w:ascii="Times New Roman" w:hAnsi="Times New Roman" w:eastAsia="Times New Roman" w:cs="Times New Roman"/>
                <w:b w:val="0"/>
                <w:i w:val="0"/>
                <w:caps w:val="0"/>
                <w:color w:val="000000"/>
                <w:sz w:val="26"/>
              </w:rPr>
              <w:t>Chủ đầu tư sử dụng vốn tự có và lựa chọn áp dụng Luật Đấu thầu số 22/2023/QH15 (đã được sửa đổi, bổ sung bởi Luật số 57/2024/QH15 và Luật số 90/2025/QH15), Nghị định số 214/2025/NĐ-CP (đã được sửa đổi, bổ sung bởi các Nghị định số 165/2026/NĐ-CP, 170/2026/NĐ-CP và 349/2026/NĐ-CP) và Thông tư số 79/2025/TT-BTC</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Hình thức lựa chọn nhà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Đấu thầu rộng rãi trong nước, qua mạng</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Phương thức lựa chọn nhà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Một giai đoạn một túi hồ sơ</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Loại hợp đồng</w:t>
            </w:r>
          </w:p>
        </w:tc>
        <w:tc>
          <w:tcPr>
            <w:tcW w:type="dxa" w:w="6300"/>
          </w:tcPr>
          <w:p>
            <w:pPr>
              <w:spacing w:before="0" w:after="60"/>
              <w:jc w:val="left"/>
            </w:pPr>
            <w:r>
              <w:rPr>
                <w:rFonts w:ascii="Times New Roman" w:hAnsi="Times New Roman" w:eastAsia="Times New Roman" w:cs="Times New Roman"/>
                <w:b w:val="0"/>
                <w:i w:val="0"/>
                <w:caps w:val="0"/>
                <w:color w:val="000000"/>
                <w:sz w:val="26"/>
              </w:rPr>
              <w:t>Trọn gói</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Giá gói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2.000.000.000 đồng, đã bao gồm các loại thuế, phí và lệ phí theo quy định (nếu có)</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gian thực hiện hợp đồng</w:t>
            </w:r>
          </w:p>
        </w:tc>
        <w:tc>
          <w:tcPr>
            <w:tcW w:type="dxa" w:w="6300"/>
          </w:tcPr>
          <w:p>
            <w:pPr>
              <w:spacing w:before="0" w:after="60"/>
              <w:jc w:val="left"/>
            </w:pPr>
            <w:r>
              <w:rPr>
                <w:rFonts w:ascii="Times New Roman" w:hAnsi="Times New Roman" w:eastAsia="Times New Roman" w:cs="Times New Roman"/>
                <w:b w:val="0"/>
                <w:i w:val="0"/>
                <w:caps w:val="0"/>
                <w:color w:val="000000"/>
                <w:sz w:val="26"/>
              </w:rPr>
              <w:t>Từ ngày hợp đồng có hiệu lực, dự kiến ngày 18/03/2027, đến hết ngày 01/07/2027, tương đương khoảng 15 tuần</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Phát hành E-HSMT</w:t>
            </w:r>
          </w:p>
        </w:tc>
        <w:tc>
          <w:tcPr>
            <w:tcW w:type="dxa" w:w="6300"/>
          </w:tcPr>
          <w:p>
            <w:pPr>
              <w:spacing w:before="0" w:after="60"/>
              <w:jc w:val="left"/>
            </w:pPr>
            <w:r>
              <w:rPr>
                <w:rFonts w:ascii="Times New Roman" w:hAnsi="Times New Roman" w:eastAsia="Times New Roman" w:cs="Times New Roman"/>
                <w:b w:val="0"/>
                <w:i w:val="0"/>
                <w:caps w:val="0"/>
                <w:color w:val="000000"/>
                <w:sz w:val="26"/>
              </w:rPr>
              <w:t>Ngày 22/02/2027, phát hành miễn phí trên Hệ thống</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gian chuẩn bị E-HSDT</w:t>
            </w:r>
          </w:p>
        </w:tc>
        <w:tc>
          <w:tcPr>
            <w:tcW w:type="dxa" w:w="6300"/>
          </w:tcPr>
          <w:p>
            <w:pPr>
              <w:spacing w:before="0" w:after="60"/>
              <w:jc w:val="left"/>
            </w:pPr>
            <w:r>
              <w:rPr>
                <w:rFonts w:ascii="Times New Roman" w:hAnsi="Times New Roman" w:eastAsia="Times New Roman" w:cs="Times New Roman"/>
                <w:b w:val="0"/>
                <w:i w:val="0"/>
                <w:caps w:val="0"/>
                <w:color w:val="000000"/>
                <w:sz w:val="26"/>
              </w:rPr>
              <w:t>14 ngày, kể từ ngày phát hành E-HSMT đến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Làm rõ E-HSMT</w:t>
            </w:r>
          </w:p>
        </w:tc>
        <w:tc>
          <w:tcPr>
            <w:tcW w:type="dxa" w:w="6300"/>
          </w:tcPr>
          <w:p>
            <w:pPr>
              <w:spacing w:before="0" w:after="60"/>
              <w:jc w:val="left"/>
            </w:pPr>
            <w:r>
              <w:rPr>
                <w:rFonts w:ascii="Times New Roman" w:hAnsi="Times New Roman" w:eastAsia="Times New Roman" w:cs="Times New Roman"/>
                <w:b w:val="0"/>
                <w:i w:val="0"/>
                <w:caps w:val="0"/>
                <w:color w:val="000000"/>
                <w:sz w:val="26"/>
              </w:rPr>
              <w:t>Nhà thầu gửi đề nghị làm rõ qua Hệ thống chậm nhất ngày 03/03/2027. Chủ đầu tư trả lời trên Hệ thống chậm nhất ngày 04/03/2027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Hội nghị tiền đấu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00, ngày 01/03/2027, tại phòng họp A, trụ sở chính Công ty Cổ phần ABC Wear, Số 10 phố Giả Định, phường Cầu Giấy, thành phố Hà Nội</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điểm đóng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00, ngày 08/03/2027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điểm mở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30, ngày 08/03/2027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Hiệu lực E-HSDT</w:t>
            </w:r>
          </w:p>
        </w:tc>
        <w:tc>
          <w:tcPr>
            <w:tcW w:type="dxa" w:w="6300"/>
          </w:tcPr>
          <w:p>
            <w:pPr>
              <w:spacing w:before="0" w:after="60"/>
              <w:jc w:val="left"/>
            </w:pPr>
            <w:r>
              <w:rPr>
                <w:rFonts w:ascii="Times New Roman" w:hAnsi="Times New Roman" w:eastAsia="Times New Roman" w:cs="Times New Roman"/>
                <w:b w:val="0"/>
                <w:i w:val="0"/>
                <w:caps w:val="0"/>
                <w:color w:val="000000"/>
                <w:sz w:val="26"/>
              </w:rPr>
              <w:t>≥ 90 ngày, kể từ ngày có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Bảo đảm dự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30.000.000 đồng, bằng 1,5% giá gói thầu. Hiệu lực ≥ 120 ngày kể từ ngày có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Mốc đưa hệ thống vào vận hành (cut over)</w:t>
            </w:r>
          </w:p>
        </w:tc>
        <w:tc>
          <w:tcPr>
            <w:tcW w:type="dxa" w:w="6300"/>
          </w:tcPr>
          <w:p>
            <w:pPr>
              <w:spacing w:before="0" w:after="60"/>
              <w:jc w:val="left"/>
            </w:pPr>
            <w:r>
              <w:rPr>
                <w:rFonts w:ascii="Times New Roman" w:hAnsi="Times New Roman" w:eastAsia="Times New Roman" w:cs="Times New Roman"/>
                <w:b w:val="0"/>
                <w:i w:val="0"/>
                <w:caps w:val="0"/>
                <w:color w:val="000000"/>
                <w:sz w:val="26"/>
              </w:rPr>
              <w:t>Ngày 01/07/2027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Đầu mối liên hệ</w:t>
            </w:r>
          </w:p>
        </w:tc>
        <w:tc>
          <w:tcPr>
            <w:tcW w:type="dxa" w:w="6300"/>
          </w:tcPr>
          <w:p>
            <w:pPr>
              <w:spacing w:before="0" w:after="60"/>
              <w:jc w:val="left"/>
            </w:pPr>
            <w:r>
              <w:rPr>
                <w:rFonts w:ascii="Times New Roman" w:hAnsi="Times New Roman" w:eastAsia="Times New Roman" w:cs="Times New Roman"/>
                <w:b w:val="0"/>
                <w:i w:val="0"/>
                <w:caps w:val="0"/>
                <w:color w:val="000000"/>
                <w:sz w:val="26"/>
              </w:rPr>
              <w:t>Yamada, Phòng Kế hoạch, email yamada@abc.com</w:t>
            </w:r>
          </w:p>
        </w:tc>
      </w:tr>
    </w:tbl>
    <w:p>
      <w:r>
        <w:br w:type="page"/>
      </w:r>
    </w:p>
    <w:p>
      <w:pPr>
        <w:spacing w:before="0" w:after="120"/>
        <w:jc w:val="center"/>
      </w:pPr>
      <w:r>
        <w:rPr>
          <w:rFonts w:ascii="Times New Roman" w:hAnsi="Times New Roman" w:eastAsia="Times New Roman" w:cs="Times New Roman"/>
          <w:b w:val="0"/>
          <w:i w:val="0"/>
          <w:caps w:val="0"/>
          <w:color w:val="000000"/>
          <w:sz w:val="30"/>
        </w:rPr>
        <w:t>Mục lục</w:t>
      </w:r>
    </w:p>
    <w:p>
      <w:pPr>
        <w:spacing w:before="0" w:after="60"/>
        <w:jc w:val="left"/>
      </w:pPr>
      <w:r>
        <w:fldChar w:fldCharType="begin"/>
        <w:instrText xml:space="preserve"> TOC \o "1-2" \h \z \u </w:instrText>
        <w:fldChar w:fldCharType="separate"/>
      </w:r>
      <w:r>
        <w:rPr>
          <w:rFonts w:ascii="Times New Roman" w:hAnsi="Times New Roman" w:eastAsia="Times New Roman" w:cs="Times New Roman"/>
          <w:b w:val="0"/>
          <w:i w:val="0"/>
          <w:caps w:val="0"/>
          <w:color w:val="000000"/>
          <w:sz w:val="26"/>
        </w:rPr>
        <w:t>Mô tả tóm tắt</w:t>
      </w:r>
    </w:p>
    <w:p>
      <w:pPr>
        <w:spacing w:before="0" w:after="60"/>
        <w:jc w:val="left"/>
      </w:pPr>
      <w:r>
        <w:rPr>
          <w:rFonts w:ascii="Times New Roman" w:hAnsi="Times New Roman" w:eastAsia="Times New Roman" w:cs="Times New Roman"/>
          <w:b w:val="0"/>
          <w:i w:val="0"/>
          <w:caps w:val="0"/>
          <w:color w:val="000000"/>
          <w:sz w:val="26"/>
        </w:rPr>
        <w:t>Phần 1. Thủ tục đấu thầu</w:t>
      </w:r>
    </w:p>
    <w:p>
      <w:pPr>
        <w:spacing w:before="0" w:after="60"/>
        <w:jc w:val="left"/>
      </w:pPr>
      <w:r>
        <w:rPr>
          <w:rFonts w:ascii="Times New Roman" w:hAnsi="Times New Roman" w:eastAsia="Times New Roman" w:cs="Times New Roman"/>
          <w:b w:val="0"/>
          <w:i w:val="0"/>
          <w:caps w:val="0"/>
          <w:color w:val="000000"/>
          <w:sz w:val="26"/>
        </w:rPr>
        <w:t xml:space="preserve">    Chương I. Chỉ dẫn nhà thầu</w:t>
      </w:r>
    </w:p>
    <w:p>
      <w:pPr>
        <w:spacing w:before="0" w:after="60"/>
        <w:jc w:val="left"/>
      </w:pPr>
      <w:r>
        <w:rPr>
          <w:rFonts w:ascii="Times New Roman" w:hAnsi="Times New Roman" w:eastAsia="Times New Roman" w:cs="Times New Roman"/>
          <w:b w:val="0"/>
          <w:i w:val="0"/>
          <w:caps w:val="0"/>
          <w:color w:val="000000"/>
          <w:sz w:val="26"/>
        </w:rPr>
        <w:t xml:space="preserve">    Chương II. Bảng dữ liệu đấu thầu</w:t>
      </w:r>
    </w:p>
    <w:p>
      <w:pPr>
        <w:spacing w:before="0" w:after="60"/>
        <w:jc w:val="left"/>
      </w:pPr>
      <w:r>
        <w:rPr>
          <w:rFonts w:ascii="Times New Roman" w:hAnsi="Times New Roman" w:eastAsia="Times New Roman" w:cs="Times New Roman"/>
          <w:b w:val="0"/>
          <w:i w:val="0"/>
          <w:caps w:val="0"/>
          <w:color w:val="000000"/>
          <w:sz w:val="26"/>
        </w:rPr>
        <w:t xml:space="preserve">    Chương III. Tiêu chuẩn đánh giá E-HSDT</w:t>
      </w:r>
    </w:p>
    <w:p>
      <w:pPr>
        <w:spacing w:before="0" w:after="60"/>
        <w:jc w:val="left"/>
      </w:pPr>
      <w:r>
        <w:rPr>
          <w:rFonts w:ascii="Times New Roman" w:hAnsi="Times New Roman" w:eastAsia="Times New Roman" w:cs="Times New Roman"/>
          <w:b w:val="0"/>
          <w:i w:val="0"/>
          <w:caps w:val="0"/>
          <w:color w:val="000000"/>
          <w:sz w:val="26"/>
        </w:rPr>
        <w:t xml:space="preserve">    Chương IV. Biểu mẫu mời thầu và dự thầu</w:t>
      </w:r>
    </w:p>
    <w:p>
      <w:pPr>
        <w:spacing w:before="0" w:after="60"/>
        <w:jc w:val="left"/>
      </w:pPr>
      <w:r>
        <w:rPr>
          <w:rFonts w:ascii="Times New Roman" w:hAnsi="Times New Roman" w:eastAsia="Times New Roman" w:cs="Times New Roman"/>
          <w:b w:val="0"/>
          <w:i w:val="0"/>
          <w:caps w:val="0"/>
          <w:color w:val="000000"/>
          <w:sz w:val="26"/>
        </w:rPr>
        <w:t>Phần 2. Yêu cầu về kỹ thuật</w:t>
      </w:r>
    </w:p>
    <w:p>
      <w:pPr>
        <w:spacing w:before="0" w:after="60"/>
        <w:jc w:val="left"/>
      </w:pPr>
      <w:r>
        <w:rPr>
          <w:rFonts w:ascii="Times New Roman" w:hAnsi="Times New Roman" w:eastAsia="Times New Roman" w:cs="Times New Roman"/>
          <w:b w:val="0"/>
          <w:i w:val="0"/>
          <w:caps w:val="0"/>
          <w:color w:val="000000"/>
          <w:sz w:val="26"/>
        </w:rPr>
        <w:t xml:space="preserve">    Chương V. Yêu cầu về kỹ thuật</w:t>
      </w:r>
    </w:p>
    <w:p>
      <w:pPr>
        <w:spacing w:before="0" w:after="60"/>
        <w:jc w:val="left"/>
      </w:pPr>
      <w:r>
        <w:rPr>
          <w:rFonts w:ascii="Times New Roman" w:hAnsi="Times New Roman" w:eastAsia="Times New Roman" w:cs="Times New Roman"/>
          <w:b w:val="0"/>
          <w:i w:val="0"/>
          <w:caps w:val="0"/>
          <w:color w:val="000000"/>
          <w:sz w:val="26"/>
        </w:rPr>
        <w:t>Phần 3A. Điều kiện hợp đồng</w:t>
      </w:r>
    </w:p>
    <w:p>
      <w:pPr>
        <w:spacing w:before="0" w:after="60"/>
        <w:jc w:val="left"/>
      </w:pPr>
      <w:r>
        <w:rPr>
          <w:rFonts w:ascii="Times New Roman" w:hAnsi="Times New Roman" w:eastAsia="Times New Roman" w:cs="Times New Roman"/>
          <w:b w:val="0"/>
          <w:i w:val="0"/>
          <w:caps w:val="0"/>
          <w:color w:val="000000"/>
          <w:sz w:val="26"/>
        </w:rPr>
        <w:t xml:space="preserve">    Chương VI. Điều kiện chung của hợp đồng</w:t>
      </w:r>
    </w:p>
    <w:p>
      <w:pPr>
        <w:spacing w:before="0" w:after="60"/>
        <w:jc w:val="left"/>
      </w:pPr>
      <w:r>
        <w:rPr>
          <w:rFonts w:ascii="Times New Roman" w:hAnsi="Times New Roman" w:eastAsia="Times New Roman" w:cs="Times New Roman"/>
          <w:b w:val="0"/>
          <w:i w:val="0"/>
          <w:caps w:val="0"/>
          <w:color w:val="000000"/>
          <w:sz w:val="26"/>
        </w:rPr>
        <w:t xml:space="preserve">    Chương VII. Điều kiện cụ thể của hợp đồng</w:t>
      </w:r>
    </w:p>
    <w:p>
      <w:pPr>
        <w:spacing w:before="0" w:after="60"/>
        <w:jc w:val="left"/>
      </w:pPr>
      <w:r>
        <w:rPr>
          <w:rFonts w:ascii="Times New Roman" w:hAnsi="Times New Roman" w:eastAsia="Times New Roman" w:cs="Times New Roman"/>
          <w:b w:val="0"/>
          <w:i w:val="0"/>
          <w:caps w:val="0"/>
          <w:color w:val="000000"/>
          <w:sz w:val="26"/>
        </w:rPr>
        <w:t>Phần 4. Biểu mẫu hợp đồng</w:t>
      </w:r>
      <w:r>
        <w:fldChar w:fldCharType="end"/>
      </w:r>
    </w:p>
    <w:p>
      <w:pPr>
        <w:spacing w:before="0" w:after="100" w:line="300" w:lineRule="auto"/>
        <w:jc w:val="both"/>
      </w:pPr>
      <w:r>
        <w:rPr>
          <w:rFonts w:ascii="Times New Roman" w:hAnsi="Times New Roman" w:eastAsia="Times New Roman" w:cs="Times New Roman"/>
          <w:b w:val="0"/>
          <w:i w:val="0"/>
          <w:caps w:val="0"/>
          <w:color w:val="000000"/>
          <w:sz w:val="26"/>
        </w:rPr>
        <w:t>Phần 3B (thỏa thuận khung) và phụ lục các ví dụ của Mẫu số 5A không áp dụng cho gói thầu này.</w:t>
      </w:r>
    </w:p>
    <w:p>
      <w:pPr>
        <w:pStyle w:val="Heading2"/>
        <w:spacing w:before="200" w:after="120"/>
        <w:jc w:val="left"/>
      </w:pPr>
      <w:r>
        <w:rPr>
          <w:rFonts w:ascii="Times New Roman" w:hAnsi="Times New Roman" w:eastAsia="Times New Roman" w:cs="Times New Roman"/>
          <w:b w:val="0"/>
          <w:i w:val="0"/>
          <w:caps w:val="0"/>
          <w:color w:val="000000"/>
          <w:sz w:val="26"/>
        </w:rPr>
        <w:t>Mô tả tóm tắt</w:t>
      </w:r>
    </w:p>
    <w:p>
      <w:pPr>
        <w:spacing w:before="0" w:after="100" w:line="300" w:lineRule="auto"/>
        <w:jc w:val="both"/>
      </w:pPr>
      <w:r>
        <w:rPr>
          <w:rFonts w:ascii="Times New Roman" w:hAnsi="Times New Roman" w:eastAsia="Times New Roman" w:cs="Times New Roman"/>
          <w:b w:val="0"/>
          <w:i w:val="0"/>
          <w:caps w:val="0"/>
          <w:color w:val="000000"/>
          <w:sz w:val="26"/>
        </w:rPr>
        <w:t>Phần 1. Thủ tục đấu thầu. Chương I cung cấp thông tin giúp nhà thầu chuẩn bị E-HSDT, được sử dụng mà không sửa đổi. Chương II quy định cụ thể nội dung của Chương I khi áp dụng cho gói thầu này. Chương III gồm các tiêu chuẩn đánh giá E-HSDT. Chương IV gồm các biểu mẫu mà Chủ đầu tư và nhà thầu hoàn chỉnh trên Hệ thống.</w:t>
      </w:r>
    </w:p>
    <w:p>
      <w:pPr>
        <w:spacing w:before="0" w:after="100" w:line="300" w:lineRule="auto"/>
        <w:jc w:val="both"/>
      </w:pPr>
      <w:r>
        <w:rPr>
          <w:rFonts w:ascii="Times New Roman" w:hAnsi="Times New Roman" w:eastAsia="Times New Roman" w:cs="Times New Roman"/>
          <w:b w:val="0"/>
          <w:i w:val="0"/>
          <w:caps w:val="0"/>
          <w:color w:val="000000"/>
          <w:sz w:val="26"/>
        </w:rPr>
        <w:t>Phần 2. Yêu cầu về kỹ thuật. Chương V nêu các yêu cầu về kỹ thuật của dịch vụ.</w:t>
      </w:r>
    </w:p>
    <w:p>
      <w:pPr>
        <w:spacing w:before="0" w:after="100" w:line="300" w:lineRule="auto"/>
        <w:jc w:val="both"/>
      </w:pPr>
      <w:r>
        <w:rPr>
          <w:rFonts w:ascii="Times New Roman" w:hAnsi="Times New Roman" w:eastAsia="Times New Roman" w:cs="Times New Roman"/>
          <w:b w:val="0"/>
          <w:i w:val="0"/>
          <w:caps w:val="0"/>
          <w:color w:val="000000"/>
          <w:sz w:val="26"/>
        </w:rPr>
        <w:t>Phần 3A. Điều kiện hợp đồng. Chương VI là điều kiện chung áp dụng cho mọi hợp đồng, được sử dụng mà không sửa đổi. Chương VII là điều kiện cụ thể của hợp đồng này, chi tiết hóa và bổ sung nhưng không thay thế điều kiện chung.</w:t>
      </w:r>
    </w:p>
    <w:p>
      <w:pPr>
        <w:spacing w:before="0" w:after="100" w:line="300" w:lineRule="auto"/>
        <w:jc w:val="both"/>
      </w:pPr>
      <w:r>
        <w:rPr>
          <w:rFonts w:ascii="Times New Roman" w:hAnsi="Times New Roman" w:eastAsia="Times New Roman" w:cs="Times New Roman"/>
          <w:b w:val="0"/>
          <w:i w:val="0"/>
          <w:caps w:val="0"/>
          <w:color w:val="000000"/>
          <w:sz w:val="26"/>
        </w:rPr>
        <w:t>Phần 4. Biểu mẫu hợp đồng gồm các biểu mẫu sau khi hoàn chỉnh sẽ trở thành một bộ phận cấu thành của hợp đồng.</w:t>
      </w:r>
    </w:p>
    <w:p>
      <w:r>
        <w:br w:type="page"/>
      </w:r>
    </w:p>
    <w:p>
      <w:pPr>
        <w:spacing w:before="0" w:after="120"/>
        <w:jc w:val="center"/>
      </w:pPr>
      <w:r>
        <w:rPr>
          <w:rFonts w:ascii="Times New Roman" w:hAnsi="Times New Roman" w:eastAsia="Times New Roman" w:cs="Times New Roman"/>
          <w:b w:val="0"/>
          <w:i w:val="0"/>
          <w:caps w:val="0"/>
          <w:color w:val="000000"/>
          <w:sz w:val="32"/>
        </w:rPr>
        <w:t>Phần 1. Thủ tục đấu thầu</w:t>
      </w:r>
    </w:p>
    <w:p>
      <w:pPr>
        <w:pStyle w:val="Heading1"/>
        <w:spacing w:before="240" w:after="160"/>
        <w:jc w:val="center"/>
      </w:pPr>
      <w:r>
        <w:rPr>
          <w:rFonts w:ascii="Times New Roman" w:hAnsi="Times New Roman" w:eastAsia="Times New Roman" w:cs="Times New Roman"/>
          <w:b w:val="0"/>
          <w:i w:val="0"/>
          <w:caps w:val="0"/>
          <w:color w:val="000000"/>
          <w:sz w:val="30"/>
        </w:rPr>
        <w:t>Chương I. Chỉ dẫn nhà thầu</w:t>
      </w:r>
    </w:p>
    <w:p>
      <w:pPr>
        <w:spacing w:before="0" w:after="100" w:line="300" w:lineRule="auto"/>
        <w:jc w:val="both"/>
      </w:pPr>
      <w:r>
        <w:rPr>
          <w:rFonts w:ascii="Times New Roman" w:hAnsi="Times New Roman" w:eastAsia="Times New Roman" w:cs="Times New Roman"/>
          <w:b w:val="0"/>
          <w:i w:val="0"/>
          <w:caps w:val="0"/>
          <w:color w:val="000000"/>
          <w:sz w:val="26"/>
        </w:rPr>
        <w:t>Chương này được sử dụng nguyên văn theo Mẫu số 5A ban hành kèm theo Thông tư số 79/2025/TT-BTC, không sửa đổi, và được cố định dạng tệp tin PDF trên Hệ thống. Các nội dung áp dụng cụ thể cho gói thầu được quy định tại Chương II.</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300"/>
        <w:gridCol w:w="7300"/>
      </w:tblGrid>
      <w:tr>
        <w:tc>
          <w:tcPr>
            <w:tcW w:type="dxa" w:w="2300"/>
          </w:tcPr>
          <w:p>
            <w:pPr>
              <w:spacing w:before="0" w:after="60"/>
              <w:jc w:val="left"/>
            </w:pPr>
            <w:r>
              <w:rPr>
                <w:rFonts w:ascii="Times New Roman" w:hAnsi="Times New Roman" w:eastAsia="Times New Roman" w:cs="Times New Roman"/>
                <w:b w:val="0"/>
                <w:i w:val="0"/>
                <w:caps w:val="0"/>
                <w:color w:val="000000"/>
                <w:sz w:val="26"/>
              </w:rPr>
              <w:t>1. Phạm vi gói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1.1. Chủ đầu tư quy định tại E-BDL phát hành bộ E-HSMT này để lựa chọn nhà thầu thực hiện gói thầu dịch vụ phi tư vấn theo phương thức một giai đoạn một túi hồ sơ.</w:t>
            </w:r>
          </w:p>
          <w:p>
            <w:pPr>
              <w:spacing w:before="0" w:after="60"/>
              <w:jc w:val="left"/>
            </w:pPr>
            <w:r>
              <w:rPr>
                <w:rFonts w:ascii="Times New Roman" w:hAnsi="Times New Roman" w:eastAsia="Times New Roman" w:cs="Times New Roman"/>
                <w:b w:val="0"/>
                <w:i w:val="0"/>
                <w:caps w:val="0"/>
                <w:color w:val="000000"/>
                <w:sz w:val="26"/>
              </w:rPr>
              <w:t>1.2. Tên gói thầu, dự án/dự toán mua sắm; số lượng, số hiệu các phần thuộc gói thầu (trường hợp gói thầu chia thành nhiều phần độc lập) được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 Giải thích từ ngữ trong đấu thầu qua mạng</w:t>
            </w:r>
          </w:p>
        </w:tc>
        <w:tc>
          <w:tcPr>
            <w:tcW w:type="dxa" w:w="7300"/>
          </w:tcPr>
          <w:p>
            <w:pPr>
              <w:spacing w:before="0" w:after="60"/>
              <w:jc w:val="left"/>
            </w:pPr>
            <w:r>
              <w:rPr>
                <w:rFonts w:ascii="Times New Roman" w:hAnsi="Times New Roman" w:eastAsia="Times New Roman" w:cs="Times New Roman"/>
                <w:b w:val="0"/>
                <w:i w:val="0"/>
                <w:caps w:val="0"/>
                <w:color w:val="000000"/>
                <w:sz w:val="26"/>
              </w:rPr>
              <w:t>2.1. Thời điểm đóng thầu là thời điểm hết hạn nhận E-HSDT và được quy định trong E-TBMT trên Hệ thống.</w:t>
            </w:r>
          </w:p>
          <w:p>
            <w:pPr>
              <w:spacing w:before="0" w:after="60"/>
              <w:jc w:val="left"/>
            </w:pPr>
            <w:r>
              <w:rPr>
                <w:rFonts w:ascii="Times New Roman" w:hAnsi="Times New Roman" w:eastAsia="Times New Roman" w:cs="Times New Roman"/>
                <w:b w:val="0"/>
                <w:i w:val="0"/>
                <w:caps w:val="0"/>
                <w:color w:val="000000"/>
                <w:sz w:val="26"/>
              </w:rPr>
              <w:t>2.2. Ngày là ngày theo dương lịch, bao gồm cả ngày nghỉ cuối tuần, nghỉ lễ, nghỉ Tết theo quy định của pháp luật về lao động.</w:t>
            </w:r>
          </w:p>
          <w:p>
            <w:pPr>
              <w:spacing w:before="0" w:after="60"/>
              <w:jc w:val="left"/>
            </w:pPr>
            <w:r>
              <w:rPr>
                <w:rFonts w:ascii="Times New Roman" w:hAnsi="Times New Roman" w:eastAsia="Times New Roman" w:cs="Times New Roman"/>
                <w:b w:val="0"/>
                <w:i w:val="0"/>
                <w:caps w:val="0"/>
                <w:color w:val="000000"/>
                <w:sz w:val="26"/>
              </w:rPr>
              <w:t>2.3. Thời gian và ngày tháng trên Hệ thống là thời gian và ngày tháng được hiển thị trên Hệ thống (GMT+7).</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 Nguồn vốn</w:t>
            </w:r>
          </w:p>
        </w:tc>
        <w:tc>
          <w:tcPr>
            <w:tcW w:type="dxa" w:w="7300"/>
          </w:tcPr>
          <w:p>
            <w:pPr>
              <w:spacing w:before="0" w:after="60"/>
              <w:jc w:val="left"/>
            </w:pPr>
            <w:r>
              <w:rPr>
                <w:rFonts w:ascii="Times New Roman" w:hAnsi="Times New Roman" w:eastAsia="Times New Roman" w:cs="Times New Roman"/>
                <w:b w:val="0"/>
                <w:i w:val="0"/>
                <w:caps w:val="0"/>
                <w:color w:val="000000"/>
                <w:sz w:val="26"/>
              </w:rPr>
              <w:t>Nguồn vốn để sử dụng cho gói thầu được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4. Hành vi bị cấm</w:t>
            </w:r>
          </w:p>
        </w:tc>
        <w:tc>
          <w:tcPr>
            <w:tcW w:type="dxa" w:w="7300"/>
          </w:tcPr>
          <w:p>
            <w:pPr>
              <w:spacing w:before="0" w:after="60"/>
              <w:jc w:val="left"/>
            </w:pPr>
            <w:r>
              <w:rPr>
                <w:rFonts w:ascii="Times New Roman" w:hAnsi="Times New Roman" w:eastAsia="Times New Roman" w:cs="Times New Roman"/>
                <w:b w:val="0"/>
                <w:i w:val="0"/>
                <w:caps w:val="0"/>
                <w:color w:val="000000"/>
                <w:sz w:val="26"/>
              </w:rPr>
              <w:t>4.1. Đưa, nhận, môi giới hối lộ.</w:t>
            </w:r>
          </w:p>
          <w:p>
            <w:pPr>
              <w:spacing w:before="0" w:after="60"/>
              <w:jc w:val="left"/>
            </w:pPr>
            <w:r>
              <w:rPr>
                <w:rFonts w:ascii="Times New Roman" w:hAnsi="Times New Roman" w:eastAsia="Times New Roman" w:cs="Times New Roman"/>
                <w:b w:val="0"/>
                <w:i w:val="0"/>
                <w:caps w:val="0"/>
                <w:color w:val="000000"/>
                <w:sz w:val="26"/>
              </w:rPr>
              <w:t>4.2. Lợi dụng chức vụ, quyền hạn để gây ảnh hưởng, can thiệp trái pháp luật vào hoạt động đấu thầu dưới mọi hình thức.</w:t>
            </w:r>
          </w:p>
          <w:p>
            <w:pPr>
              <w:spacing w:before="0" w:after="60"/>
              <w:jc w:val="left"/>
            </w:pPr>
            <w:r>
              <w:rPr>
                <w:rFonts w:ascii="Times New Roman" w:hAnsi="Times New Roman" w:eastAsia="Times New Roman" w:cs="Times New Roman"/>
                <w:b w:val="0"/>
                <w:i w:val="0"/>
                <w:caps w:val="0"/>
                <w:color w:val="000000"/>
                <w:sz w:val="26"/>
              </w:rPr>
              <w:t>4.3. Thông thầu bao gồm các hành vi sau đây:</w:t>
            </w:r>
          </w:p>
          <w:p>
            <w:pPr>
              <w:spacing w:before="0" w:after="60"/>
              <w:jc w:val="left"/>
            </w:pPr>
            <w:r>
              <w:rPr>
                <w:rFonts w:ascii="Times New Roman" w:hAnsi="Times New Roman" w:eastAsia="Times New Roman" w:cs="Times New Roman"/>
                <w:b w:val="0"/>
                <w:i w:val="0"/>
                <w:caps w:val="0"/>
                <w:color w:val="000000"/>
                <w:sz w:val="26"/>
              </w:rPr>
              <w:t>a) Dàn xếp, thỏa thuận, ép buộc để một hoặc các bên chuẩn bị E-HSDT hoặc rút E-HSDT để một bên trúng thầu;</w:t>
            </w:r>
          </w:p>
          <w:p>
            <w:pPr>
              <w:spacing w:before="0" w:after="60"/>
              <w:jc w:val="left"/>
            </w:pPr>
            <w:r>
              <w:rPr>
                <w:rFonts w:ascii="Times New Roman" w:hAnsi="Times New Roman" w:eastAsia="Times New Roman" w:cs="Times New Roman"/>
                <w:b w:val="0"/>
                <w:i w:val="0"/>
                <w:caps w:val="0"/>
                <w:color w:val="000000"/>
                <w:sz w:val="26"/>
              </w:rPr>
              <w:t>b) Dàn xếp, thỏa thuận để từ chối cung cấp dịch vụ, không ký hợp đồng thầu phụ hoặc thực hiện các hình thức thỏa thuận khác nhằm hạn chế cạnh tranh để một bên trúng thầu;</w:t>
            </w:r>
          </w:p>
          <w:p>
            <w:pPr>
              <w:spacing w:before="0" w:after="60"/>
              <w:jc w:val="left"/>
            </w:pPr>
            <w:r>
              <w:rPr>
                <w:rFonts w:ascii="Times New Roman" w:hAnsi="Times New Roman" w:eastAsia="Times New Roman" w:cs="Times New Roman"/>
                <w:b w:val="0"/>
                <w:i w:val="0"/>
                <w:caps w:val="0"/>
                <w:color w:val="000000"/>
                <w:sz w:val="26"/>
              </w:rPr>
              <w:t>c) Nhà thầu có năng lực, kinh nghiệm đã tham dự thầu và đáp ứng yêu cầu của E-HSMT nhưng cố ý không cung cấp tài liệu để chứng minh năng lực, kinh nghiệm khi được Chủ đầu tư yêu cầu làm rõ E-HSDT hoặc khi được yêu cầu đối chiếu tài liệu nhằm tạo điều kiện để một bên trúng thầu.</w:t>
            </w:r>
          </w:p>
          <w:p>
            <w:pPr>
              <w:spacing w:before="0" w:after="60"/>
              <w:jc w:val="left"/>
            </w:pPr>
            <w:r>
              <w:rPr>
                <w:rFonts w:ascii="Times New Roman" w:hAnsi="Times New Roman" w:eastAsia="Times New Roman" w:cs="Times New Roman"/>
                <w:b w:val="0"/>
                <w:i w:val="0"/>
                <w:caps w:val="0"/>
                <w:color w:val="000000"/>
                <w:sz w:val="26"/>
              </w:rPr>
              <w:t>4.4. Gian lận bao gồm các hành vi sau đây:</w:t>
            </w:r>
          </w:p>
          <w:p>
            <w:pPr>
              <w:spacing w:before="0" w:after="60"/>
              <w:jc w:val="left"/>
            </w:pPr>
            <w:r>
              <w:rPr>
                <w:rFonts w:ascii="Times New Roman" w:hAnsi="Times New Roman" w:eastAsia="Times New Roman" w:cs="Times New Roman"/>
                <w:b w:val="0"/>
                <w:i w:val="0"/>
                <w:caps w:val="0"/>
                <w:color w:val="000000"/>
                <w:sz w:val="26"/>
              </w:rPr>
              <w:t>a) Làm giả hoặc làm sai lệch thông tin, hồ sơ, tài liệu trong đấu thầu;</w:t>
            </w:r>
          </w:p>
          <w:p>
            <w:pPr>
              <w:spacing w:before="0" w:after="60"/>
              <w:jc w:val="left"/>
            </w:pPr>
            <w:r>
              <w:rPr>
                <w:rFonts w:ascii="Times New Roman" w:hAnsi="Times New Roman" w:eastAsia="Times New Roman" w:cs="Times New Roman"/>
                <w:b w:val="0"/>
                <w:i w:val="0"/>
                <w:caps w:val="0"/>
                <w:color w:val="000000"/>
                <w:sz w:val="26"/>
              </w:rPr>
              <w:t>b) Cố ý cung cấp thông tin, tài liệu không trung thực, không khách quan trong E-HSDT nhằm làm sai lệch kết quả lựa chọn nhà thầu.</w:t>
            </w:r>
          </w:p>
          <w:p>
            <w:pPr>
              <w:spacing w:before="0" w:after="60"/>
              <w:jc w:val="left"/>
            </w:pPr>
            <w:r>
              <w:rPr>
                <w:rFonts w:ascii="Times New Roman" w:hAnsi="Times New Roman" w:eastAsia="Times New Roman" w:cs="Times New Roman"/>
                <w:b w:val="0"/>
                <w:i w:val="0"/>
                <w:caps w:val="0"/>
                <w:color w:val="000000"/>
                <w:sz w:val="26"/>
              </w:rPr>
              <w:t>4.5. Cản trở bao gồm các hành vi sau đây:</w:t>
            </w:r>
          </w:p>
          <w:p>
            <w:pPr>
              <w:spacing w:before="0" w:after="60"/>
              <w:jc w:val="left"/>
            </w:pPr>
            <w:r>
              <w:rPr>
                <w:rFonts w:ascii="Times New Roman" w:hAnsi="Times New Roman" w:eastAsia="Times New Roman" w:cs="Times New Roman"/>
                <w:b w:val="0"/>
                <w:i w:val="0"/>
                <w:caps w:val="0"/>
                <w:color w:val="000000"/>
                <w:sz w:val="26"/>
              </w:rPr>
              <w:t>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pPr>
              <w:spacing w:before="0" w:after="60"/>
              <w:jc w:val="left"/>
            </w:pPr>
            <w:r>
              <w:rPr>
                <w:rFonts w:ascii="Times New Roman" w:hAnsi="Times New Roman" w:eastAsia="Times New Roman" w:cs="Times New Roman"/>
                <w:b w:val="0"/>
                <w:i w:val="0"/>
                <w:caps w:val="0"/>
                <w:color w:val="000000"/>
                <w:sz w:val="26"/>
              </w:rPr>
              <w:t>b) Cản trở người có thẩm quyền, Chủ đầu tư, nhà thầu trong lựa chọn nhà thầu;</w:t>
            </w:r>
          </w:p>
          <w:p>
            <w:pPr>
              <w:spacing w:before="0" w:after="60"/>
              <w:jc w:val="left"/>
            </w:pPr>
            <w:r>
              <w:rPr>
                <w:rFonts w:ascii="Times New Roman" w:hAnsi="Times New Roman" w:eastAsia="Times New Roman" w:cs="Times New Roman"/>
                <w:b w:val="0"/>
                <w:i w:val="0"/>
                <w:caps w:val="0"/>
                <w:color w:val="000000"/>
                <w:sz w:val="26"/>
              </w:rPr>
              <w:t>c) Cản trở cơ quan có thẩm quyền giám sát, kiểm tra, thanh tra, kiểm toán đối với hoạt động đấu thầu;</w:t>
            </w:r>
          </w:p>
          <w:p>
            <w:pPr>
              <w:spacing w:before="0" w:after="60"/>
              <w:jc w:val="left"/>
            </w:pPr>
            <w:r>
              <w:rPr>
                <w:rFonts w:ascii="Times New Roman" w:hAnsi="Times New Roman" w:eastAsia="Times New Roman" w:cs="Times New Roman"/>
                <w:b w:val="0"/>
                <w:i w:val="0"/>
                <w:caps w:val="0"/>
                <w:color w:val="000000"/>
                <w:sz w:val="26"/>
              </w:rPr>
              <w:t>d) Cố tình khiếu nại, tố cáo, kiến nghị sai sự thật để cản trở hoạt động đấu thầu;</w:t>
            </w:r>
          </w:p>
          <w:p>
            <w:pPr>
              <w:spacing w:before="0" w:after="60"/>
              <w:jc w:val="left"/>
            </w:pPr>
            <w:r>
              <w:rPr>
                <w:rFonts w:ascii="Times New Roman" w:hAnsi="Times New Roman" w:eastAsia="Times New Roman" w:cs="Times New Roman"/>
                <w:b w:val="0"/>
                <w:i w:val="0"/>
                <w:caps w:val="0"/>
                <w:color w:val="000000"/>
                <w:sz w:val="26"/>
              </w:rPr>
              <w:t>đ) Có hành vi vi phạm pháp luật về an toàn, an ninh mạng nhằm can thiệp, cản trở việc đấu thầu qua mạng.</w:t>
            </w:r>
          </w:p>
          <w:p>
            <w:pPr>
              <w:spacing w:before="0" w:after="60"/>
              <w:jc w:val="left"/>
            </w:pPr>
            <w:r>
              <w:rPr>
                <w:rFonts w:ascii="Times New Roman" w:hAnsi="Times New Roman" w:eastAsia="Times New Roman" w:cs="Times New Roman"/>
                <w:b w:val="0"/>
                <w:i w:val="0"/>
                <w:caps w:val="0"/>
                <w:color w:val="000000"/>
                <w:sz w:val="26"/>
              </w:rPr>
              <w:t>4.6. Không bảo đảm công bằng, minh bạch bao gồm các hành vi sau đây:</w:t>
            </w:r>
          </w:p>
          <w:p>
            <w:pPr>
              <w:spacing w:before="0" w:after="60"/>
              <w:jc w:val="left"/>
            </w:pPr>
            <w:r>
              <w:rPr>
                <w:rFonts w:ascii="Times New Roman" w:hAnsi="Times New Roman" w:eastAsia="Times New Roman" w:cs="Times New Roman"/>
                <w:b w:val="0"/>
                <w:i w:val="0"/>
                <w:caps w:val="0"/>
                <w:color w:val="000000"/>
                <w:sz w:val="26"/>
              </w:rPr>
              <w:t>a) Tham dự thầu với tư cách là nhà thầu đối với gói thầu do mình làm Chủ đầu tư hoặc thực hiện nhiệm vụ của Chủ đầu tư không đúng quy định của Luật Đấu thầu;</w:t>
            </w:r>
          </w:p>
          <w:p>
            <w:pPr>
              <w:spacing w:before="0" w:after="60"/>
              <w:jc w:val="left"/>
            </w:pPr>
            <w:r>
              <w:rPr>
                <w:rFonts w:ascii="Times New Roman" w:hAnsi="Times New Roman" w:eastAsia="Times New Roman" w:cs="Times New Roman"/>
                <w:b w:val="0"/>
                <w:i w:val="0"/>
                <w:caps w:val="0"/>
                <w:color w:val="000000"/>
                <w:sz w:val="26"/>
              </w:rPr>
              <w:t>b) Tham gia lập, đồng thời tham gia thẩm định E-HSMT đối với cùng một gói thầu;</w:t>
            </w:r>
          </w:p>
          <w:p>
            <w:pPr>
              <w:spacing w:before="0" w:after="60"/>
              <w:jc w:val="left"/>
            </w:pPr>
            <w:r>
              <w:rPr>
                <w:rFonts w:ascii="Times New Roman" w:hAnsi="Times New Roman" w:eastAsia="Times New Roman" w:cs="Times New Roman"/>
                <w:b w:val="0"/>
                <w:i w:val="0"/>
                <w:caps w:val="0"/>
                <w:color w:val="000000"/>
                <w:sz w:val="26"/>
              </w:rPr>
              <w:t>c) Tham gia đánh giá E-HSDT đồng thời tham gia thẩm định kết quả lựa chọn nhà thầu đối với cùng một gói thầu;</w:t>
            </w:r>
          </w:p>
          <w:p>
            <w:pPr>
              <w:spacing w:before="0" w:after="60"/>
              <w:jc w:val="left"/>
            </w:pPr>
            <w:r>
              <w:rPr>
                <w:rFonts w:ascii="Times New Roman" w:hAnsi="Times New Roman" w:eastAsia="Times New Roman" w:cs="Times New Roman"/>
                <w:b w:val="0"/>
                <w:i w:val="0"/>
                <w:caps w:val="0"/>
                <w:color w:val="000000"/>
                <w:sz w:val="26"/>
              </w:rPr>
              <w:t>d) Cá nhân thuộc chủ đầu tư trực tiếp tham gia quá trình lựa chọn nhà thầu hoặc tham gia tổ chuyên gia, tổ thẩm định kết quả lựa chọn nhà thầu hoặc là người có thẩm quyền, người đứng đầu chủ đầu tư đối với các gói thầu do người có quan hệ gia đình theo quy định của Luật Doanh nghiệp đứng tên dự thầu hoặc là người đại diện hợp pháp của nhà thầu tham dự thầu;</w:t>
            </w:r>
          </w:p>
          <w:p>
            <w:pPr>
              <w:spacing w:before="0" w:after="60"/>
              <w:jc w:val="left"/>
            </w:pPr>
            <w:r>
              <w:rPr>
                <w:rFonts w:ascii="Times New Roman" w:hAnsi="Times New Roman" w:eastAsia="Times New Roman" w:cs="Times New Roman"/>
                <w:b w:val="0"/>
                <w:i w:val="0"/>
                <w:caps w:val="0"/>
                <w:color w:val="000000"/>
                <w:sz w:val="26"/>
              </w:rPr>
              <w:t>đ) Nhà thầu tham dự thầu gói thầu phi tư vấn do nhà thầu đó cung cấp dịch vụ tư vấn: lập, thẩm tra, thẩm định dự toán, thiết kế; lập, thẩm định E-HSMST, E-HSMT; đánh giá E-HSDST, E-HSDT; thẩm định kết quả lựa chọn nhà thầu; giám sát thực hiện hợp đồng;</w:t>
            </w:r>
          </w:p>
          <w:p>
            <w:pPr>
              <w:spacing w:before="0" w:after="60"/>
              <w:jc w:val="left"/>
            </w:pPr>
            <w:r>
              <w:rPr>
                <w:rFonts w:ascii="Times New Roman" w:hAnsi="Times New Roman" w:eastAsia="Times New Roman" w:cs="Times New Roman"/>
                <w:b w:val="0"/>
                <w:i w:val="0"/>
                <w:caps w:val="0"/>
                <w:color w:val="000000"/>
                <w:sz w:val="26"/>
              </w:rPr>
              <w:t>e) Đứng tên tham dự thầu gói thầu thuộc dự án do chủ đầu tư là cơ quan, tổ chức nơi mình đã công tác và giữ chức vụ lãnh đạo, quản lý trong thời gian 12 tháng kể từ ngày không còn làm việc tại cơ quan, tổ chức đó;</w:t>
            </w:r>
          </w:p>
          <w:p>
            <w:pPr>
              <w:spacing w:before="0" w:after="60"/>
              <w:jc w:val="left"/>
            </w:pPr>
            <w:r>
              <w:rPr>
                <w:rFonts w:ascii="Times New Roman" w:hAnsi="Times New Roman" w:eastAsia="Times New Roman" w:cs="Times New Roman"/>
                <w:b w:val="0"/>
                <w:i w:val="0"/>
                <w:caps w:val="0"/>
                <w:color w:val="000000"/>
                <w:sz w:val="26"/>
              </w:rPr>
              <w:t>g) Nêu yêu cầu cụ thể về nhãn hiệu, xuất xứ hàng hóa trong E-HSMT, trừ trường hợp quy định tại điểm e khoản 3 Điều 10, khoản 2 Điều 44 và khoản 1 Điều 56 của Luật Đấu thầu;</w:t>
            </w:r>
          </w:p>
          <w:p>
            <w:pPr>
              <w:spacing w:before="0" w:after="60"/>
              <w:jc w:val="left"/>
            </w:pPr>
            <w:r>
              <w:rPr>
                <w:rFonts w:ascii="Times New Roman" w:hAnsi="Times New Roman" w:eastAsia="Times New Roman" w:cs="Times New Roman"/>
                <w:b w:val="0"/>
                <w:i w:val="0"/>
                <w:caps w:val="0"/>
                <w:color w:val="000000"/>
                <w:sz w:val="26"/>
              </w:rPr>
              <w:t>4.7. Tiết lộ những tài liệu, thông tin về quá trình lựa chọn nhà thầu, trừ trường hợp cung cấp thông tin theo quy định tại điểm b khoản 8 Điều 77, khoản 11 Điều 78, khoản 4 Điều 80, khoản 4 Điều 81, khoản 2 Điều 82 của Luật Đấu thầu, bao gồm:</w:t>
            </w:r>
          </w:p>
          <w:p>
            <w:pPr>
              <w:spacing w:before="0" w:after="60"/>
              <w:jc w:val="left"/>
            </w:pPr>
            <w:r>
              <w:rPr>
                <w:rFonts w:ascii="Times New Roman" w:hAnsi="Times New Roman" w:eastAsia="Times New Roman" w:cs="Times New Roman"/>
                <w:b w:val="0"/>
                <w:i w:val="0"/>
                <w:caps w:val="0"/>
                <w:color w:val="000000"/>
                <w:sz w:val="26"/>
              </w:rPr>
              <w:t>a) Nội dung E-HSMT trước thời điểm phát hành theo quy định;</w:t>
            </w:r>
          </w:p>
          <w:p>
            <w:pPr>
              <w:spacing w:before="0" w:after="60"/>
              <w:jc w:val="left"/>
            </w:pPr>
            <w:r>
              <w:rPr>
                <w:rFonts w:ascii="Times New Roman" w:hAnsi="Times New Roman" w:eastAsia="Times New Roman" w:cs="Times New Roman"/>
                <w:b w:val="0"/>
                <w:i w:val="0"/>
                <w:caps w:val="0"/>
                <w:color w:val="000000"/>
                <w:sz w:val="26"/>
              </w:rPr>
              <w:t>b) Nội dung E-HSDT; nội dung yêu cầu làm rõ E-HSDT của chủ đầu tư và trả lời của nhà thầu trong quá trình đánh giá E-HSDT; báo cáo của chủ đầu tư,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pPr>
              <w:spacing w:before="0" w:after="60"/>
              <w:jc w:val="left"/>
            </w:pPr>
            <w:r>
              <w:rPr>
                <w:rFonts w:ascii="Times New Roman" w:hAnsi="Times New Roman" w:eastAsia="Times New Roman" w:cs="Times New Roman"/>
                <w:b w:val="0"/>
                <w:i w:val="0"/>
                <w:caps w:val="0"/>
                <w:color w:val="000000"/>
                <w:sz w:val="26"/>
              </w:rPr>
              <w:t>c) Kết quả lựa chọn nhà thầu trước khi được công khai theo quy định;</w:t>
            </w:r>
          </w:p>
          <w:p>
            <w:pPr>
              <w:spacing w:before="0" w:after="60"/>
              <w:jc w:val="left"/>
            </w:pPr>
            <w:r>
              <w:rPr>
                <w:rFonts w:ascii="Times New Roman" w:hAnsi="Times New Roman" w:eastAsia="Times New Roman" w:cs="Times New Roman"/>
                <w:b w:val="0"/>
                <w:i w:val="0"/>
                <w:caps w:val="0"/>
                <w:color w:val="000000"/>
                <w:sz w:val="26"/>
              </w:rPr>
              <w:t>d) Các tài liệu khác trong quá trình lựa chọn nhà thầu được xác định chứa nội dung bí mật nhà nước theo quy định của pháp luật.</w:t>
            </w:r>
          </w:p>
          <w:p>
            <w:pPr>
              <w:spacing w:before="0" w:after="60"/>
              <w:jc w:val="left"/>
            </w:pPr>
            <w:r>
              <w:rPr>
                <w:rFonts w:ascii="Times New Roman" w:hAnsi="Times New Roman" w:eastAsia="Times New Roman" w:cs="Times New Roman"/>
                <w:b w:val="0"/>
                <w:i w:val="0"/>
                <w:caps w:val="0"/>
                <w:color w:val="000000"/>
                <w:sz w:val="26"/>
              </w:rPr>
              <w:t>4.8. Chuyển nhượng thầu trong trường hợp sau đây:</w:t>
            </w:r>
          </w:p>
          <w:p>
            <w:pPr>
              <w:spacing w:before="0" w:after="60"/>
              <w:jc w:val="left"/>
            </w:pPr>
            <w:r>
              <w:rPr>
                <w:rFonts w:ascii="Times New Roman" w:hAnsi="Times New Roman" w:eastAsia="Times New Roman" w:cs="Times New Roman"/>
                <w:b w:val="0"/>
                <w:i w:val="0"/>
                <w:caps w:val="0"/>
                <w:color w:val="000000"/>
                <w:sz w:val="26"/>
              </w:rPr>
              <w:t>a) Nhà thầu chuyển nhượng cho nhà thầu khác phần công việc thuộc gói thầu ngoài giá trị tối đa dành cho nhà thầu phụ và khối lượng công việc dành cho nhà thầu phụ đặc biệt đã nêu trong hợp đồng;</w:t>
            </w:r>
          </w:p>
          <w:p>
            <w:pPr>
              <w:spacing w:before="0" w:after="60"/>
              <w:jc w:val="left"/>
            </w:pPr>
            <w:r>
              <w:rPr>
                <w:rFonts w:ascii="Times New Roman" w:hAnsi="Times New Roman" w:eastAsia="Times New Roman" w:cs="Times New Roman"/>
                <w:b w:val="0"/>
                <w:i w:val="0"/>
                <w:caps w:val="0"/>
                <w:color w:val="000000"/>
                <w:sz w:val="26"/>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Chủ đầu tư, tư vấn giám sát chấp thuận;</w:t>
            </w:r>
          </w:p>
          <w:p>
            <w:pPr>
              <w:spacing w:before="0" w:after="60"/>
              <w:jc w:val="left"/>
            </w:pPr>
            <w:r>
              <w:rPr>
                <w:rFonts w:ascii="Times New Roman" w:hAnsi="Times New Roman" w:eastAsia="Times New Roman" w:cs="Times New Roman"/>
                <w:b w:val="0"/>
                <w:i w:val="0"/>
                <w:caps w:val="0"/>
                <w:color w:val="000000"/>
                <w:sz w:val="26"/>
              </w:rPr>
              <w:t>c) Chủ đầu tư, tư vấn giám sát chấp thuận để nhà thầu chuyển nhượng công việc quy định tại điểm a khoản này;</w:t>
            </w:r>
          </w:p>
          <w:p>
            <w:pPr>
              <w:spacing w:before="0" w:after="60"/>
              <w:jc w:val="left"/>
            </w:pPr>
            <w:r>
              <w:rPr>
                <w:rFonts w:ascii="Times New Roman" w:hAnsi="Times New Roman" w:eastAsia="Times New Roman" w:cs="Times New Roman"/>
                <w:b w:val="0"/>
                <w:i w:val="0"/>
                <w:caps w:val="0"/>
                <w:color w:val="000000"/>
                <w:sz w:val="26"/>
              </w:rPr>
              <w:t>d) Chủ đầu tư, tư vấn giám sát chấp thuận để nhà thầu chuyển nhượng công việc quy định tại điểm b khoản này mà vượt mức tối đa giá trị công việc dành cho nhà thầu phụ nêu trong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5. Tư cách hợp lệ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5.1. Nhà thầu là tổ chức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a) Hạch toán tài chính độc lập;</w:t>
            </w:r>
          </w:p>
          <w:p>
            <w:pPr>
              <w:spacing w:before="0" w:after="60"/>
              <w:jc w:val="left"/>
            </w:pPr>
            <w:r>
              <w:rPr>
                <w:rFonts w:ascii="Times New Roman" w:hAnsi="Times New Roman" w:eastAsia="Times New Roman" w:cs="Times New Roman"/>
                <w:b w:val="0"/>
                <w:i w:val="0"/>
                <w:caps w:val="0"/>
                <w:color w:val="000000"/>
                <w:sz w:val="26"/>
              </w:rPr>
              <w:t>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pPr>
              <w:spacing w:before="0" w:after="60"/>
              <w:jc w:val="left"/>
            </w:pPr>
            <w:r>
              <w:rPr>
                <w:rFonts w:ascii="Times New Roman" w:hAnsi="Times New Roman" w:eastAsia="Times New Roman" w:cs="Times New Roman"/>
                <w:b w:val="0"/>
                <w:i w:val="0"/>
                <w:caps w:val="0"/>
                <w:color w:val="000000"/>
                <w:sz w:val="26"/>
              </w:rPr>
              <w:t>c) Bảo đảm cạnh tranh trong đấu thầu theo quy định tại E-BDL;</w:t>
            </w:r>
          </w:p>
          <w:p>
            <w:pPr>
              <w:spacing w:before="0" w:after="60"/>
              <w:jc w:val="left"/>
            </w:pPr>
            <w:r>
              <w:rPr>
                <w:rFonts w:ascii="Times New Roman" w:hAnsi="Times New Roman" w:eastAsia="Times New Roman" w:cs="Times New Roman"/>
                <w:b w:val="0"/>
                <w:i w:val="0"/>
                <w:caps w:val="0"/>
                <w:color w:val="000000"/>
                <w:sz w:val="26"/>
              </w:rPr>
              <w:t>d) Không đang trong thời gian bị cấm tham dự thầu theo quy định của Luật Đấu thầu;</w:t>
            </w:r>
          </w:p>
          <w:p>
            <w:pPr>
              <w:spacing w:before="0" w:after="60"/>
              <w:jc w:val="left"/>
            </w:pPr>
            <w:r>
              <w:rPr>
                <w:rFonts w:ascii="Times New Roman" w:hAnsi="Times New Roman" w:eastAsia="Times New Roman" w:cs="Times New Roman"/>
                <w:b w:val="0"/>
                <w:i w:val="0"/>
                <w:caps w:val="0"/>
                <w:color w:val="000000"/>
                <w:sz w:val="26"/>
              </w:rPr>
              <w:t>đ) Không đang bị truy cứu trách nhiệm hình sự.</w:t>
            </w:r>
          </w:p>
          <w:p>
            <w:pPr>
              <w:spacing w:before="0" w:after="60"/>
              <w:jc w:val="left"/>
            </w:pPr>
            <w:r>
              <w:rPr>
                <w:rFonts w:ascii="Times New Roman" w:hAnsi="Times New Roman" w:eastAsia="Times New Roman" w:cs="Times New Roman"/>
                <w:b w:val="0"/>
                <w:i w:val="0"/>
                <w:caps w:val="0"/>
                <w:color w:val="000000"/>
                <w:sz w:val="26"/>
              </w:rPr>
              <w:t>5.2. Nhà thầu là hộ kinh doanh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a) Có giấy chứng nhận đăng ký hộ kinh doanh theo quy định của pháp luật;</w:t>
            </w:r>
          </w:p>
          <w:p>
            <w:pPr>
              <w:spacing w:before="0" w:after="60"/>
              <w:jc w:val="left"/>
            </w:pPr>
            <w:r>
              <w:rPr>
                <w:rFonts w:ascii="Times New Roman" w:hAnsi="Times New Roman" w:eastAsia="Times New Roman" w:cs="Times New Roman"/>
                <w:b w:val="0"/>
                <w:i w:val="0"/>
                <w:caps w:val="0"/>
                <w:color w:val="000000"/>
                <w:sz w:val="26"/>
              </w:rPr>
              <w:t>b) Không đang trong quá trình chấm dứt hoạt động hoặc bị thu hồi giấy chứng nhận đăng ký hộ kinh doanh; chủ hộ kinh doanh không đang bị truy cứu trách nhiệm hình sự;</w:t>
            </w:r>
          </w:p>
          <w:p>
            <w:pPr>
              <w:spacing w:before="0" w:after="60"/>
              <w:jc w:val="left"/>
            </w:pPr>
            <w:r>
              <w:rPr>
                <w:rFonts w:ascii="Times New Roman" w:hAnsi="Times New Roman" w:eastAsia="Times New Roman" w:cs="Times New Roman"/>
                <w:b w:val="0"/>
                <w:i w:val="0"/>
                <w:caps w:val="0"/>
                <w:color w:val="000000"/>
                <w:sz w:val="26"/>
              </w:rPr>
              <w:t>c) Đáp ứng điều kiện quy định tại các điểm c và d Mục 5.1 E-CDNT.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6. Nội dung của E-HSMT</w:t>
            </w:r>
          </w:p>
        </w:tc>
        <w:tc>
          <w:tcPr>
            <w:tcW w:type="dxa" w:w="7300"/>
          </w:tcPr>
          <w:p>
            <w:pPr>
              <w:spacing w:before="0" w:after="60"/>
              <w:jc w:val="left"/>
            </w:pPr>
            <w:r>
              <w:rPr>
                <w:rFonts w:ascii="Times New Roman" w:hAnsi="Times New Roman" w:eastAsia="Times New Roman" w:cs="Times New Roman"/>
                <w:b w:val="0"/>
                <w:i w:val="0"/>
                <w:caps w:val="0"/>
                <w:color w:val="000000"/>
                <w:sz w:val="26"/>
              </w:rPr>
              <w:t>6.1. E-HSMT bao gồm E-TBMT và Phần 1, Phần 2, Phần 3 cùng với tài liệu sửa đổi, làm rõ E-HSMT theo quy định tại Mục 7 E-CDNT (nếu có), trong đó bao gồm các nội dung sau đây:</w:t>
            </w:r>
          </w:p>
          <w:p>
            <w:pPr>
              <w:spacing w:before="0" w:after="60"/>
              <w:jc w:val="left"/>
            </w:pPr>
            <w:r>
              <w:rPr>
                <w:rFonts w:ascii="Times New Roman" w:hAnsi="Times New Roman" w:eastAsia="Times New Roman" w:cs="Times New Roman"/>
                <w:b w:val="0"/>
                <w:i w:val="0"/>
                <w:caps w:val="0"/>
                <w:color w:val="000000"/>
                <w:sz w:val="26"/>
              </w:rPr>
              <w:t>Phần 1. Thủ tục đấu thầu:</w:t>
            </w:r>
          </w:p>
          <w:p>
            <w:pPr>
              <w:spacing w:before="0" w:after="60"/>
              <w:jc w:val="left"/>
            </w:pPr>
            <w:r>
              <w:rPr>
                <w:rFonts w:ascii="Times New Roman" w:hAnsi="Times New Roman" w:eastAsia="Times New Roman" w:cs="Times New Roman"/>
                <w:b w:val="0"/>
                <w:i w:val="0"/>
                <w:caps w:val="0"/>
                <w:color w:val="000000"/>
                <w:sz w:val="26"/>
              </w:rPr>
              <w:t>- Chương I. Chỉ dẫn nhà thầu;</w:t>
            </w:r>
          </w:p>
          <w:p>
            <w:pPr>
              <w:spacing w:before="0" w:after="60"/>
              <w:jc w:val="left"/>
            </w:pPr>
            <w:r>
              <w:rPr>
                <w:rFonts w:ascii="Times New Roman" w:hAnsi="Times New Roman" w:eastAsia="Times New Roman" w:cs="Times New Roman"/>
                <w:b w:val="0"/>
                <w:i w:val="0"/>
                <w:caps w:val="0"/>
                <w:color w:val="000000"/>
                <w:sz w:val="26"/>
              </w:rPr>
              <w:t>- Chương II. Bảng dữ liệu đấu thầu;</w:t>
            </w:r>
          </w:p>
          <w:p>
            <w:pPr>
              <w:spacing w:before="0" w:after="60"/>
              <w:jc w:val="left"/>
            </w:pPr>
            <w:r>
              <w:rPr>
                <w:rFonts w:ascii="Times New Roman" w:hAnsi="Times New Roman" w:eastAsia="Times New Roman" w:cs="Times New Roman"/>
                <w:b w:val="0"/>
                <w:i w:val="0"/>
                <w:caps w:val="0"/>
                <w:color w:val="000000"/>
                <w:sz w:val="26"/>
              </w:rPr>
              <w:t>- Chương III. Tiêu chuẩn đánh giá E-HSDT;</w:t>
            </w:r>
          </w:p>
          <w:p>
            <w:pPr>
              <w:spacing w:before="0" w:after="60"/>
              <w:jc w:val="left"/>
            </w:pPr>
            <w:r>
              <w:rPr>
                <w:rFonts w:ascii="Times New Roman" w:hAnsi="Times New Roman" w:eastAsia="Times New Roman" w:cs="Times New Roman"/>
                <w:b w:val="0"/>
                <w:i w:val="0"/>
                <w:caps w:val="0"/>
                <w:color w:val="000000"/>
                <w:sz w:val="26"/>
              </w:rPr>
              <w:t>- Chương IV. Biểu mẫu mời thầu và dự thầu.</w:t>
            </w:r>
          </w:p>
          <w:p>
            <w:pPr>
              <w:spacing w:before="0" w:after="60"/>
              <w:jc w:val="left"/>
            </w:pPr>
            <w:r>
              <w:rPr>
                <w:rFonts w:ascii="Times New Roman" w:hAnsi="Times New Roman" w:eastAsia="Times New Roman" w:cs="Times New Roman"/>
                <w:b w:val="0"/>
                <w:i w:val="0"/>
                <w:caps w:val="0"/>
                <w:color w:val="000000"/>
                <w:sz w:val="26"/>
              </w:rPr>
              <w:t>Phần 2. Yêu cầu về kỹ thuật:</w:t>
            </w:r>
          </w:p>
          <w:p>
            <w:pPr>
              <w:spacing w:before="0" w:after="60"/>
              <w:jc w:val="left"/>
            </w:pPr>
            <w:r>
              <w:rPr>
                <w:rFonts w:ascii="Times New Roman" w:hAnsi="Times New Roman" w:eastAsia="Times New Roman" w:cs="Times New Roman"/>
                <w:b w:val="0"/>
                <w:i w:val="0"/>
                <w:caps w:val="0"/>
                <w:color w:val="000000"/>
                <w:sz w:val="26"/>
              </w:rPr>
              <w:t>- Chương V. Yêu cầu về kỹ thuật.</w:t>
            </w:r>
          </w:p>
          <w:p>
            <w:pPr>
              <w:spacing w:before="0" w:after="60"/>
              <w:jc w:val="left"/>
            </w:pPr>
            <w:r>
              <w:rPr>
                <w:rFonts w:ascii="Times New Roman" w:hAnsi="Times New Roman" w:eastAsia="Times New Roman" w:cs="Times New Roman"/>
                <w:b w:val="0"/>
                <w:i w:val="0"/>
                <w:caps w:val="0"/>
                <w:color w:val="000000"/>
                <w:sz w:val="26"/>
              </w:rPr>
              <w:t>Phần 3A. Điều kiện hợp đồng</w:t>
            </w:r>
          </w:p>
          <w:p>
            <w:pPr>
              <w:spacing w:before="0" w:after="60"/>
              <w:jc w:val="left"/>
            </w:pPr>
            <w:r>
              <w:rPr>
                <w:rFonts w:ascii="Times New Roman" w:hAnsi="Times New Roman" w:eastAsia="Times New Roman" w:cs="Times New Roman"/>
                <w:b w:val="0"/>
                <w:i w:val="0"/>
                <w:caps w:val="0"/>
                <w:color w:val="000000"/>
                <w:sz w:val="26"/>
              </w:rPr>
              <w:t>- Chương VI. Điều kiện chung của hợp đồng;</w:t>
            </w:r>
          </w:p>
          <w:p>
            <w:pPr>
              <w:spacing w:before="0" w:after="60"/>
              <w:jc w:val="left"/>
            </w:pPr>
            <w:r>
              <w:rPr>
                <w:rFonts w:ascii="Times New Roman" w:hAnsi="Times New Roman" w:eastAsia="Times New Roman" w:cs="Times New Roman"/>
                <w:b w:val="0"/>
                <w:i w:val="0"/>
                <w:caps w:val="0"/>
                <w:color w:val="000000"/>
                <w:sz w:val="26"/>
              </w:rPr>
              <w:t>- Chương VII. Điều kiện cụ thể của hợp đồng;</w:t>
            </w:r>
          </w:p>
          <w:p>
            <w:pPr>
              <w:spacing w:before="0" w:after="60"/>
              <w:jc w:val="left"/>
            </w:pPr>
            <w:r>
              <w:rPr>
                <w:rFonts w:ascii="Times New Roman" w:hAnsi="Times New Roman" w:eastAsia="Times New Roman" w:cs="Times New Roman"/>
                <w:b w:val="0"/>
                <w:i w:val="0"/>
                <w:caps w:val="0"/>
                <w:color w:val="000000"/>
                <w:sz w:val="26"/>
              </w:rPr>
              <w:t>Phần 3B. Thỏa thuận khung (Áp dụng đối với mua sắm tập trung sử dụng thỏa thuận khung)</w:t>
            </w:r>
          </w:p>
          <w:p>
            <w:pPr>
              <w:spacing w:before="0" w:after="60"/>
              <w:jc w:val="left"/>
            </w:pPr>
            <w:r>
              <w:rPr>
                <w:rFonts w:ascii="Times New Roman" w:hAnsi="Times New Roman" w:eastAsia="Times New Roman" w:cs="Times New Roman"/>
                <w:b w:val="0"/>
                <w:i w:val="0"/>
                <w:caps w:val="0"/>
                <w:color w:val="000000"/>
                <w:sz w:val="26"/>
              </w:rPr>
              <w:t>- Chương VI. Điều kiện chung của thỏa thuận khung;</w:t>
            </w:r>
          </w:p>
          <w:p>
            <w:pPr>
              <w:spacing w:before="0" w:after="60"/>
              <w:jc w:val="left"/>
            </w:pPr>
            <w:r>
              <w:rPr>
                <w:rFonts w:ascii="Times New Roman" w:hAnsi="Times New Roman" w:eastAsia="Times New Roman" w:cs="Times New Roman"/>
                <w:b w:val="0"/>
                <w:i w:val="0"/>
                <w:caps w:val="0"/>
                <w:color w:val="000000"/>
                <w:sz w:val="26"/>
              </w:rPr>
              <w:t>- Chương VII. Điều kiện cụ thể của thỏa thuận khung;</w:t>
            </w:r>
          </w:p>
          <w:p>
            <w:pPr>
              <w:spacing w:before="0" w:after="60"/>
              <w:jc w:val="left"/>
            </w:pPr>
            <w:r>
              <w:rPr>
                <w:rFonts w:ascii="Times New Roman" w:hAnsi="Times New Roman" w:eastAsia="Times New Roman" w:cs="Times New Roman"/>
                <w:b w:val="0"/>
                <w:i w:val="0"/>
                <w:caps w:val="0"/>
                <w:color w:val="000000"/>
                <w:sz w:val="26"/>
              </w:rPr>
              <w:t>- Chương VIII. Thỏa thuận khung;</w:t>
            </w:r>
          </w:p>
          <w:p>
            <w:pPr>
              <w:spacing w:before="0" w:after="60"/>
              <w:jc w:val="left"/>
            </w:pPr>
            <w:r>
              <w:rPr>
                <w:rFonts w:ascii="Times New Roman" w:hAnsi="Times New Roman" w:eastAsia="Times New Roman" w:cs="Times New Roman"/>
                <w:b w:val="0"/>
                <w:i w:val="0"/>
                <w:caps w:val="0"/>
                <w:color w:val="000000"/>
                <w:sz w:val="26"/>
              </w:rPr>
              <w:t>Phần 4. Biểu mẫu hợp đồng.</w:t>
            </w:r>
          </w:p>
          <w:p>
            <w:pPr>
              <w:spacing w:before="0" w:after="60"/>
              <w:jc w:val="left"/>
            </w:pPr>
            <w:r>
              <w:rPr>
                <w:rFonts w:ascii="Times New Roman" w:hAnsi="Times New Roman" w:eastAsia="Times New Roman" w:cs="Times New Roman"/>
                <w:b w:val="0"/>
                <w:i w:val="0"/>
                <w:caps w:val="0"/>
                <w:color w:val="000000"/>
                <w:sz w:val="26"/>
              </w:rPr>
              <w:t>6.2. Chủ đầu tư không chịu trách nhiệm về tính chính xác, hoàn chỉnh của E-HSMT, tài liệu giải thích làm rõ E-HSMT hay các tài liệu sửa đổi E-HSMT theo quy định tại Mục 7 E-CDNT nếu các tài liệu này không được cung cấp bởi Chủ đầu tư trên Hệ thống. E-HSMT do Chủ đầu tư phát hành trên Hệ thống là cơ sở để xem xét, đánh giá.</w:t>
            </w:r>
          </w:p>
          <w:p>
            <w:pPr>
              <w:spacing w:before="0" w:after="60"/>
              <w:jc w:val="left"/>
            </w:pPr>
            <w:r>
              <w:rPr>
                <w:rFonts w:ascii="Times New Roman" w:hAnsi="Times New Roman" w:eastAsia="Times New Roman" w:cs="Times New Roman"/>
                <w:b w:val="0"/>
                <w:i w:val="0"/>
                <w:caps w:val="0"/>
                <w:color w:val="000000"/>
                <w:sz w:val="26"/>
              </w:rPr>
              <w:t>6.3. Nhà thầu phải nghiên cứu mọi thông tin của E-TBMT, E-HSMT và các nội dung sửa đổi, làm rõ E-HSMT, biên bản hội nghị tiền đấu thầu (nếu có) để chuẩn bị E-HSDT theo yêu cầu của E-HSMT cho phù hợp.</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7. Sửa đổi, làm rõ E-HSMT</w:t>
            </w:r>
          </w:p>
        </w:tc>
        <w:tc>
          <w:tcPr>
            <w:tcW w:type="dxa" w:w="7300"/>
          </w:tcPr>
          <w:p>
            <w:pPr>
              <w:spacing w:before="0" w:after="60"/>
              <w:jc w:val="left"/>
            </w:pPr>
            <w:r>
              <w:rPr>
                <w:rFonts w:ascii="Times New Roman" w:hAnsi="Times New Roman" w:eastAsia="Times New Roman" w:cs="Times New Roman"/>
                <w:b w:val="0"/>
                <w:i w:val="0"/>
                <w:caps w:val="0"/>
                <w:color w:val="000000"/>
                <w:sz w:val="26"/>
              </w:rPr>
              <w:t>7.1. Trường hợp sửa đổi E-HSMT thì Chủ đầu tư đăng tải quyết định sửa đổi kèm theo các nội dung sửa đổi và E-HSMT đã được sửa đổi cho phù hợp (webform và file đính kèm). Việc sửa đổi E-HSMT được thực hiện trong thời gian tối thiểu là 10 ngày trước ngày có thời điểm đóng thầu; đối với gói thầu có giá gói thầu không quá 10 tỷ đồng, việc sửa đổi E-HSMT được thực hiện trong thời gian tối thiểu là 03 ngày làm việc trước ngày có thời điểm đóng thầu và bảo đảm đủ thời gian để nhà thầu hoàn chỉnh E-HSDT; trường hợp không bảo đảm đủ thời gian như nêu trên thì phải gia hạn thời điểm đóng thầu.</w:t>
            </w:r>
          </w:p>
          <w:p>
            <w:pPr>
              <w:spacing w:before="0" w:after="60"/>
              <w:jc w:val="left"/>
            </w:pPr>
            <w:r>
              <w:rPr>
                <w:rFonts w:ascii="Times New Roman" w:hAnsi="Times New Roman" w:eastAsia="Times New Roman" w:cs="Times New Roman"/>
                <w:b w:val="0"/>
                <w:i w:val="0"/>
                <w:caps w:val="0"/>
                <w:color w:val="000000"/>
                <w:sz w:val="26"/>
              </w:rPr>
              <w:t>7.2. Trường hợp cần làm rõ E-HSMT, Nhà thầu phải gửi đề nghị làm rõ đến Chủ đầu tư thông qua Hệ thống trong thời hạn tối thiểu 03 ngày làm việc trước ngày có thời điểm đóng thầu để Chủ đầu tư xem xét, xử lý. Chủ đầu tư tiếp nhận nội dung làm rõ để xem xét, làm rõ theo đề nghị của nhà thầu và thực hiện làm rõ trên Hệ thống trong thời hạn tối thiểu 02 ngày làm việc trước ngày có thời điểm đóng thầu, trong đó mô tả nội dung yêu cầu làm rõ nhưng không nêu tên nhà thầu đề nghị làm rõ. Trường hợp việc làm rõ dẫn đến phải sửa đổi E-HSMT thì Chủ đầu tư tiến hành sửa đổi E-HSMT theo quy định tại Mục 7.1 E-CDNT.</w:t>
            </w:r>
          </w:p>
          <w:p>
            <w:pPr>
              <w:spacing w:before="0" w:after="60"/>
              <w:jc w:val="left"/>
            </w:pPr>
            <w:r>
              <w:rPr>
                <w:rFonts w:ascii="Times New Roman" w:hAnsi="Times New Roman" w:eastAsia="Times New Roman" w:cs="Times New Roman"/>
                <w:b w:val="0"/>
                <w:i w:val="0"/>
                <w:caps w:val="0"/>
                <w:color w:val="000000"/>
                <w:sz w:val="26"/>
              </w:rPr>
              <w:t>7.3. Chủ đầu tư chịu trách nhiệm theo dõi thông tin trên Hệ thống để kịp thời làm rõ E-HSMT theo đề nghị của nhà thầu.</w:t>
            </w:r>
          </w:p>
          <w:p>
            <w:pPr>
              <w:spacing w:before="0" w:after="60"/>
              <w:jc w:val="left"/>
            </w:pPr>
            <w:r>
              <w:rPr>
                <w:rFonts w:ascii="Times New Roman" w:hAnsi="Times New Roman" w:eastAsia="Times New Roman" w:cs="Times New Roman"/>
                <w:b w:val="0"/>
                <w:i w:val="0"/>
                <w:caps w:val="0"/>
                <w:color w:val="000000"/>
                <w:sz w:val="26"/>
              </w:rPr>
              <w:t>7.4. Nhà thầu chịu trách nhiệm theo dõi thông tin trên Hệ thống để cập nhật thông tin về việc sửa đổi E-HSMT, thay đổi thời điểm đóng thầu (nếu có) để làm cơ sở chuẩn bị E-HSDT. Trường hợp xảy ra các sai sót do không theo dõi, cập nhật thông tin trên Hệ thống dẫn đến bất lợi cho nhà thầu trong quá trình tham dự thầu bao gồm: thay đổi, sửa đổi E-HSMT, thời điểm đóng thầu và các nội dung khác thì nhà thầu phải tự chịu trách nhiệm và chịu bất lợi trong quá trình tham dự thầu.</w:t>
            </w:r>
          </w:p>
          <w:p>
            <w:pPr>
              <w:spacing w:before="0" w:after="60"/>
              <w:jc w:val="left"/>
            </w:pPr>
            <w:r>
              <w:rPr>
                <w:rFonts w:ascii="Times New Roman" w:hAnsi="Times New Roman" w:eastAsia="Times New Roman" w:cs="Times New Roman"/>
                <w:b w:val="0"/>
                <w:i w:val="0"/>
                <w:caps w:val="0"/>
                <w:color w:val="000000"/>
                <w:sz w:val="26"/>
              </w:rPr>
              <w:t>7.5. Trường hợp cần thiết, Chủ đầu tư tổ chức hội nghị tiền đấu thầu để trao đổi về những nội dung trong E-HSMT mà các nhà thầu chưa rõ theo quy định tại E-BDL. Chủ đầu tư đăng tải thông báo tổ chức hội nghị tiền đấu thầu trên Hệ thống; tất cả các nhà thầu quan tâm được tham dự hội nghị tiền đấu thầu mà không cần phải thông báo trước cho Chủ đầu tư. Nội dung trao đổi giữa Chủ đầu tư và nhà thầu phải được ghi lại thành biên bản và lập thành văn bản làm rõ E-HSMT đăng tải trên Hệ thống trong thời gian tối đa 02 ngày làm việc, kể từ ngày kết thúc hội nghị tiền đấu thầu.</w:t>
            </w:r>
          </w:p>
          <w:p>
            <w:pPr>
              <w:spacing w:before="0" w:after="60"/>
              <w:jc w:val="left"/>
            </w:pPr>
            <w:r>
              <w:rPr>
                <w:rFonts w:ascii="Times New Roman" w:hAnsi="Times New Roman" w:eastAsia="Times New Roman" w:cs="Times New Roman"/>
                <w:b w:val="0"/>
                <w:i w:val="0"/>
                <w:caps w:val="0"/>
                <w:color w:val="000000"/>
                <w:sz w:val="26"/>
              </w:rPr>
              <w:t>7.6. Trường hợp E-HSMT cần phải được sửa đổi sau khi tổ chức hội nghị tiền đấu thầu, Chủ đầu tư thực hiện việc sửa đổi E-HSMT theo quy định tại Mục 7.1 E-CDNT. Biên bản hội nghị tiền đấu thầu không phải là văn bản sửa đổi E-HSMT.</w:t>
            </w:r>
          </w:p>
          <w:p>
            <w:pPr>
              <w:spacing w:before="0" w:after="60"/>
              <w:jc w:val="left"/>
            </w:pPr>
            <w:r>
              <w:rPr>
                <w:rFonts w:ascii="Times New Roman" w:hAnsi="Times New Roman" w:eastAsia="Times New Roman" w:cs="Times New Roman"/>
                <w:b w:val="0"/>
                <w:i w:val="0"/>
                <w:caps w:val="0"/>
                <w:color w:val="000000"/>
                <w:sz w:val="26"/>
              </w:rPr>
              <w:t>7.7. Việc nhà thầu không tham dự hội nghị tiền đấu thầu hoặc không có giấy xác nhận đã tham dự hội nghị tiền đấu thầu không phải là lý do để loại bỏ E-HSDT của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8. Chi phí dự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E-HSMT được phát hành miễn phí trên Hệ thống ngay sau khi Chủ đầu tư đăng tải thành công E-TBMT trên Hệ thống. Nhà thầu phải chịu mọi chi phí liên quan đến quá trình tham dự thầu. Chi phí nộp E-HSDT theo quy định tại E-BDL. Trong mọi trường hợp, Chủ đầu tư không chịu trách nhiệm về các chi phí liên quan đến việc tham dự thầu của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9. Ngôn ngữ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E-HSDT cũng như tất cả văn bản và tài liệu liên quan đến E-HSDT được viết bằng tiếng Việt. Các tài liệu bổ trợ trong E-HSDT có thể được viết bằng ngôn ngữ khác, đồng thời kèm theo bản dịch sang tiếng Việt. Trường hợp thiếu bản dịch, chủ đầu tư có thể yêu cầu nhà thầu gửi bổ sung (nếu cần thiết).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10. Thành phần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E-HSDT phải bao gồm các thành phần sau:</w:t>
            </w:r>
          </w:p>
          <w:p>
            <w:pPr>
              <w:spacing w:before="0" w:after="60"/>
              <w:jc w:val="left"/>
            </w:pPr>
            <w:r>
              <w:rPr>
                <w:rFonts w:ascii="Times New Roman" w:hAnsi="Times New Roman" w:eastAsia="Times New Roman" w:cs="Times New Roman"/>
                <w:b w:val="0"/>
                <w:i w:val="0"/>
                <w:caps w:val="0"/>
                <w:color w:val="000000"/>
                <w:sz w:val="26"/>
              </w:rPr>
              <w:t>10.1. Đơn dự thầu được Hệ thống trích xuất theo quy định tại Mục 11 E-CDNT;</w:t>
            </w:r>
          </w:p>
          <w:p>
            <w:pPr>
              <w:spacing w:before="0" w:after="60"/>
              <w:jc w:val="left"/>
            </w:pPr>
            <w:r>
              <w:rPr>
                <w:rFonts w:ascii="Times New Roman" w:hAnsi="Times New Roman" w:eastAsia="Times New Roman" w:cs="Times New Roman"/>
                <w:b w:val="0"/>
                <w:i w:val="0"/>
                <w:caps w:val="0"/>
                <w:color w:val="000000"/>
                <w:sz w:val="26"/>
              </w:rPr>
              <w:t>10.2. Thỏa thuận liên danh được Hệ thống trích xuất theo Mẫu số 03 Chương IV (đối với nhà thầu liên danh);</w:t>
            </w:r>
          </w:p>
          <w:p>
            <w:pPr>
              <w:spacing w:before="0" w:after="60"/>
              <w:jc w:val="left"/>
            </w:pPr>
            <w:r>
              <w:rPr>
                <w:rFonts w:ascii="Times New Roman" w:hAnsi="Times New Roman" w:eastAsia="Times New Roman" w:cs="Times New Roman"/>
                <w:b w:val="0"/>
                <w:i w:val="0"/>
                <w:caps w:val="0"/>
                <w:color w:val="000000"/>
                <w:sz w:val="26"/>
              </w:rPr>
              <w:t>10.3. Bảo đảm dự thầu theo quy định tại Mục 18 E-CDNT;</w:t>
            </w:r>
          </w:p>
          <w:p>
            <w:pPr>
              <w:spacing w:before="0" w:after="60"/>
              <w:jc w:val="left"/>
            </w:pPr>
            <w:r>
              <w:rPr>
                <w:rFonts w:ascii="Times New Roman" w:hAnsi="Times New Roman" w:eastAsia="Times New Roman" w:cs="Times New Roman"/>
                <w:b w:val="0"/>
                <w:i w:val="0"/>
                <w:caps w:val="0"/>
                <w:color w:val="000000"/>
                <w:sz w:val="26"/>
              </w:rPr>
              <w:t>10.4. Bản kê khai năng lực, kinh nghiệm của nhà thầu theo Mục 16 E-CDNT;</w:t>
            </w:r>
          </w:p>
          <w:p>
            <w:pPr>
              <w:spacing w:before="0" w:after="60"/>
              <w:jc w:val="left"/>
            </w:pPr>
            <w:r>
              <w:rPr>
                <w:rFonts w:ascii="Times New Roman" w:hAnsi="Times New Roman" w:eastAsia="Times New Roman" w:cs="Times New Roman"/>
                <w:b w:val="0"/>
                <w:i w:val="0"/>
                <w:caps w:val="0"/>
                <w:color w:val="000000"/>
                <w:sz w:val="26"/>
              </w:rPr>
              <w:t>10.5. Đề xuất về kỹ thuật và các tài liệu theo quy định tại Mục 15 E-CDNT;</w:t>
            </w:r>
          </w:p>
          <w:p>
            <w:pPr>
              <w:spacing w:before="0" w:after="60"/>
              <w:jc w:val="left"/>
            </w:pPr>
            <w:r>
              <w:rPr>
                <w:rFonts w:ascii="Times New Roman" w:hAnsi="Times New Roman" w:eastAsia="Times New Roman" w:cs="Times New Roman"/>
                <w:b w:val="0"/>
                <w:i w:val="0"/>
                <w:caps w:val="0"/>
                <w:color w:val="000000"/>
                <w:sz w:val="26"/>
              </w:rPr>
              <w:t>10.6. Đề xuất về tài chính và các bảng biểu được ghi đầy đủ thông tin theo quy định tại Mục 11 và Mục 13 E-CDNT;</w:t>
            </w:r>
          </w:p>
          <w:p>
            <w:pPr>
              <w:spacing w:before="0" w:after="60"/>
              <w:jc w:val="left"/>
            </w:pPr>
            <w:r>
              <w:rPr>
                <w:rFonts w:ascii="Times New Roman" w:hAnsi="Times New Roman" w:eastAsia="Times New Roman" w:cs="Times New Roman"/>
                <w:b w:val="0"/>
                <w:i w:val="0"/>
                <w:caps w:val="0"/>
                <w:color w:val="000000"/>
                <w:sz w:val="26"/>
              </w:rPr>
              <w:t>10.7. Đề xuất phương án kỹ thuật thay thế trong E-HSDT theo quy định tại Mục 12 E-CDNT (nếu có);</w:t>
            </w:r>
          </w:p>
          <w:p>
            <w:pPr>
              <w:spacing w:before="0" w:after="60"/>
              <w:jc w:val="left"/>
            </w:pPr>
            <w:r>
              <w:rPr>
                <w:rFonts w:ascii="Times New Roman" w:hAnsi="Times New Roman" w:eastAsia="Times New Roman" w:cs="Times New Roman"/>
                <w:b w:val="0"/>
                <w:i w:val="0"/>
                <w:caps w:val="0"/>
                <w:color w:val="000000"/>
                <w:sz w:val="26"/>
              </w:rPr>
              <w:t>10.8. Các nội dung khác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11. Đơn dự thầu và các bảng biểu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điền đầy đủ thông tin vào các Mẫu ở Chương IV. Nhà thầu kiểm tra thông tin trong đơn dự thầu và các bảng biểu được Hệ thống trích xuất để hoàn thành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12. Đề xuất phương án kỹ thuật thay thế trong E-HSDT</w:t>
            </w:r>
          </w:p>
        </w:tc>
        <w:tc>
          <w:tcPr>
            <w:tcW w:type="dxa" w:w="7300"/>
          </w:tcPr>
          <w:p>
            <w:pPr>
              <w:spacing w:before="0" w:after="60"/>
              <w:jc w:val="left"/>
            </w:pPr>
            <w:r>
              <w:rPr>
                <w:rFonts w:ascii="Times New Roman" w:hAnsi="Times New Roman" w:eastAsia="Times New Roman" w:cs="Times New Roman"/>
                <w:b w:val="0"/>
                <w:i w:val="0"/>
                <w:caps w:val="0"/>
                <w:color w:val="000000"/>
                <w:sz w:val="26"/>
              </w:rPr>
              <w:t>12.1. Trường hợp E-HSMT có quy định tại E-BDL về việc nhà thầu có thể đề xuất phương án kỹ thuật thay thế thì phương án kỹ thuật thay thế đó mới được xem xét.</w:t>
            </w:r>
          </w:p>
          <w:p>
            <w:pPr>
              <w:spacing w:before="0" w:after="60"/>
              <w:jc w:val="left"/>
            </w:pPr>
            <w:r>
              <w:rPr>
                <w:rFonts w:ascii="Times New Roman" w:hAnsi="Times New Roman" w:eastAsia="Times New Roman" w:cs="Times New Roman"/>
                <w:b w:val="0"/>
                <w:i w:val="0"/>
                <w:caps w:val="0"/>
                <w:color w:val="000000"/>
                <w:sz w:val="26"/>
              </w:rPr>
              <w:t>12.2.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tổ chuyên gia có thể đánh giá phương án kỹ thuật thay thế, bao gồm: thuyết minh, giải pháp kỹ thuật, biện pháp tổ chức cung cấp dịch vụ, tiến độ thực hiện, chi phí và các thông tin liên quan khác. Việc đánh giá đề xuất phương án kỹ thuật thay thế trong E-HSDT thực hiện theo quy định tại Mục 5 Chương III.</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13. Giá dự thầu và giảm giá</w:t>
            </w:r>
          </w:p>
        </w:tc>
        <w:tc>
          <w:tcPr>
            <w:tcW w:type="dxa" w:w="7300"/>
          </w:tcPr>
          <w:p>
            <w:pPr>
              <w:spacing w:before="0" w:after="60"/>
              <w:jc w:val="left"/>
            </w:pPr>
            <w:r>
              <w:rPr>
                <w:rFonts w:ascii="Times New Roman" w:hAnsi="Times New Roman" w:eastAsia="Times New Roman" w:cs="Times New Roman"/>
                <w:b w:val="0"/>
                <w:i w:val="0"/>
                <w:caps w:val="0"/>
                <w:color w:val="000000"/>
                <w:sz w:val="26"/>
              </w:rPr>
              <w:t>13.1 Giá dự thầu ghi trong đơn và trong các bảng giá cùng với các khoản giảm giá phải đáp ứng các quy định trong Mục này:</w:t>
            </w:r>
          </w:p>
          <w:p>
            <w:pPr>
              <w:spacing w:before="0" w:after="60"/>
              <w:jc w:val="left"/>
            </w:pPr>
            <w:r>
              <w:rPr>
                <w:rFonts w:ascii="Times New Roman" w:hAnsi="Times New Roman" w:eastAsia="Times New Roman" w:cs="Times New Roman"/>
                <w:b w:val="0"/>
                <w:i w:val="0"/>
                <w:caps w:val="0"/>
                <w:color w:val="000000"/>
                <w:sz w:val="26"/>
              </w:rPr>
              <w:t>a) Giá dự thầu là giá do nhà thầu chào trong đơn dự thầu (chưa tính giảm giá), bao gồm toàn bộ các chi phí để thực hiện gói thầu. Hệ thống sẽ tự động trích xuất giá dự thầu từ Mẫu số 11 (11A hoặc 11B hoặc 11C hoặc 11D hoặc 11E hoặc 11G) Chương IV vào đơn dự thầu.</w:t>
            </w:r>
          </w:p>
          <w:p>
            <w:pPr>
              <w:spacing w:before="0" w:after="60"/>
              <w:jc w:val="left"/>
            </w:pPr>
            <w:r>
              <w:rPr>
                <w:rFonts w:ascii="Times New Roman" w:hAnsi="Times New Roman" w:eastAsia="Times New Roman" w:cs="Times New Roman"/>
                <w:b w:val="0"/>
                <w:i w:val="0"/>
                <w:caps w:val="0"/>
                <w:color w:val="000000"/>
                <w:sz w:val="26"/>
              </w:rPr>
              <w:t>b) Tất cả các phần (đối với gói thầu chia thành nhiều phần) và các hạng mục phải được chào giá riêng trong các bảng giá dự thầu. Trường hợp tại cột “đơn giá” nhà thầu ghi là “0” thì được coi là nhà thầu đã phân bổ giá của hạng mục công việc này vào hạng mục công việc khác thuộc gói thầu và sẽ không được Chủ đầu tư thanh toán riêng, nhà thầu phải có trách nhiệm thực hiện tất cả các hạng mục công việc theo yêu cầu của E-HSMT bảo đảm chất lượng, tiến độ.</w:t>
            </w:r>
          </w:p>
          <w:p>
            <w:pPr>
              <w:spacing w:before="0" w:after="60"/>
              <w:jc w:val="left"/>
            </w:pPr>
            <w:r>
              <w:rPr>
                <w:rFonts w:ascii="Times New Roman" w:hAnsi="Times New Roman" w:eastAsia="Times New Roman" w:cs="Times New Roman"/>
                <w:b w:val="0"/>
                <w:i w:val="0"/>
                <w:caps w:val="0"/>
                <w:color w:val="000000"/>
                <w:sz w:val="26"/>
              </w:rPr>
              <w:t>c) Đối với gói thầu không chia phần, trường hợp nhà thầu có đề xuất giảm giá thì ghi tỷ lệ phần trăm giảm giá vào đơn dự thầu. Giá trị giảm giá này được hiểu là giảm đều theo tỷ lệ cho tất cả hạng mục trong các bảng giá dự thầu. Đối với loại hợp đồng theo đơn giá cố định, hợp đồng theo đơn giá điều chỉnh, hợp đồng theo thời gian, giá trị giảm giá được tính trên giá dự thầu không bao gồm dự phòng.</w:t>
            </w:r>
          </w:p>
          <w:p>
            <w:pPr>
              <w:spacing w:before="0" w:after="60"/>
              <w:jc w:val="left"/>
            </w:pPr>
            <w:r>
              <w:rPr>
                <w:rFonts w:ascii="Times New Roman" w:hAnsi="Times New Roman" w:eastAsia="Times New Roman" w:cs="Times New Roman"/>
                <w:b w:val="0"/>
                <w:i w:val="0"/>
                <w:caps w:val="0"/>
                <w:color w:val="000000"/>
                <w:sz w:val="26"/>
              </w:rPr>
              <w:t>d) Nhà thầu phải nộp E-HSDT cho toàn bộ công việc yêu cầu trong E-HSMT và ghi đơn giá dự thầu cho tất cả các công việc nêu trong cột “Danh mục dịch vụ” theo Mẫu số 11 (11A hoặc 11B hoặc 11C hoặc 11D hoặc 11E hoặc 11G) Chương IV.</w:t>
            </w:r>
          </w:p>
          <w:p>
            <w:pPr>
              <w:spacing w:before="0" w:after="60"/>
              <w:jc w:val="left"/>
            </w:pPr>
            <w:r>
              <w:rPr>
                <w:rFonts w:ascii="Times New Roman" w:hAnsi="Times New Roman" w:eastAsia="Times New Roman" w:cs="Times New Roman"/>
                <w:b w:val="0"/>
                <w:i w:val="0"/>
                <w:caps w:val="0"/>
                <w:color w:val="000000"/>
                <w:sz w:val="26"/>
              </w:rPr>
              <w:t>13.2. Trường hợp gói thầu được chia thành nhiều phần độc lập và cho phép dự thầu theo từng phần thì nhà thầu có thể dự thầu một hoặc nhiều phần của gói thầu. Nhà thầu phải dự thầu đầy đủ các hạng mục trong phần mà mình tham dự. Trường hợp nhà thầu có đề xuất giảm giá thì thực hiện theo một trong hai cách sau đây:</w:t>
            </w:r>
          </w:p>
          <w:p>
            <w:pPr>
              <w:spacing w:before="0" w:after="60"/>
              <w:jc w:val="left"/>
            </w:pPr>
            <w:r>
              <w:rPr>
                <w:rFonts w:ascii="Times New Roman" w:hAnsi="Times New Roman" w:eastAsia="Times New Roman" w:cs="Times New Roman"/>
                <w:b w:val="0"/>
                <w:i w:val="0"/>
                <w:caps w:val="0"/>
                <w:color w:val="000000"/>
                <w:sz w:val="26"/>
              </w:rPr>
              <w:t>a) Cách thứ nhất: ghi tỷ lệ phần trăm giảm giá vào đơn dự thầu (trong trường hợp này được coi là nhà thầu giảm giá đều theo tỷ lệ cho tất cả phần mà nhà thầu tham dự).</w:t>
            </w:r>
          </w:p>
          <w:p>
            <w:pPr>
              <w:spacing w:before="0" w:after="60"/>
              <w:jc w:val="left"/>
            </w:pPr>
            <w:r>
              <w:rPr>
                <w:rFonts w:ascii="Times New Roman" w:hAnsi="Times New Roman" w:eastAsia="Times New Roman" w:cs="Times New Roman"/>
                <w:b w:val="0"/>
                <w:i w:val="0"/>
                <w:caps w:val="0"/>
                <w:color w:val="000000"/>
                <w:sz w:val="26"/>
              </w:rPr>
              <w:t>b) Cách thứ hai: ghi tỷ lệ phần trăm giảm giá cho từng phần vào webform trên Hệ thống.</w:t>
            </w:r>
          </w:p>
          <w:p>
            <w:pPr>
              <w:spacing w:before="0" w:after="60"/>
              <w:jc w:val="left"/>
            </w:pPr>
            <w:r>
              <w:rPr>
                <w:rFonts w:ascii="Times New Roman" w:hAnsi="Times New Roman" w:eastAsia="Times New Roman" w:cs="Times New Roman"/>
                <w:b w:val="0"/>
                <w:i w:val="0"/>
                <w:caps w:val="0"/>
                <w:color w:val="000000"/>
                <w:sz w:val="26"/>
              </w:rPr>
              <w:t>13.3. Nhà thầu phải chịu trách nhiệm về giá dự thầu để thực hiện, hoàn thành các công việc theo đúng yêu cầu nêu trong E-HSMT. Trường hợp hồ sơ dự thầu có giá dự thầu sau khi trừ đi giá trị giảm giá (nếu có) thấp khác thường, ảnh hưởng đến chất lượng gói thầu thì Chủ đầu tư xử lý tình huống theo quy định tại khoản 11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13.4.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14. Đồng tiền dự thầu và đồng tiền thanh toán</w:t>
            </w:r>
          </w:p>
        </w:tc>
        <w:tc>
          <w:tcPr>
            <w:tcW w:type="dxa" w:w="7300"/>
          </w:tcPr>
          <w:p>
            <w:pPr>
              <w:spacing w:before="0" w:after="60"/>
              <w:jc w:val="left"/>
            </w:pPr>
            <w:r>
              <w:rPr>
                <w:rFonts w:ascii="Times New Roman" w:hAnsi="Times New Roman" w:eastAsia="Times New Roman" w:cs="Times New Roman"/>
                <w:b w:val="0"/>
                <w:i w:val="0"/>
                <w:caps w:val="0"/>
                <w:color w:val="000000"/>
                <w:sz w:val="26"/>
              </w:rPr>
              <w:t>Đồng tiền dự thầu và đồng tiền thanh toán là VND.</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15. Tài liệu chứng minh sự đáp ứng về kỹ thuật</w:t>
            </w:r>
          </w:p>
        </w:tc>
        <w:tc>
          <w:tcPr>
            <w:tcW w:type="dxa" w:w="7300"/>
          </w:tcPr>
          <w:p>
            <w:pPr>
              <w:spacing w:before="0" w:after="60"/>
              <w:jc w:val="left"/>
            </w:pPr>
            <w:r>
              <w:rPr>
                <w:rFonts w:ascii="Times New Roman" w:hAnsi="Times New Roman" w:eastAsia="Times New Roman" w:cs="Times New Roman"/>
                <w:b w:val="0"/>
                <w:i w:val="0"/>
                <w:caps w:val="0"/>
                <w:color w:val="000000"/>
                <w:sz w:val="26"/>
              </w:rPr>
              <w:t>15.1. Để chứng minh sự đáp ứng của dịch vụ so với yêu cầu của E-HSMT, nhà thầu phải cung cấp các tài liệu là một phần của E-HSDT (đính kèm file lên Hệ thống) để chứng minh rằng các dịch vụ mà mình cung cấp phù hợp với các yêu cầu và tiêu chuẩn kỹ thuật quy định tại Chương V.</w:t>
            </w:r>
          </w:p>
          <w:p>
            <w:pPr>
              <w:spacing w:before="0" w:after="60"/>
              <w:jc w:val="left"/>
            </w:pPr>
            <w:r>
              <w:rPr>
                <w:rFonts w:ascii="Times New Roman" w:hAnsi="Times New Roman" w:eastAsia="Times New Roman" w:cs="Times New Roman"/>
                <w:b w:val="0"/>
                <w:i w:val="0"/>
                <w:caps w:val="0"/>
                <w:color w:val="000000"/>
                <w:sz w:val="26"/>
              </w:rPr>
              <w:t>15.2. Các tiêu chuẩn về cung cấp dịch vụ chỉ mang tính mô tả mà không nhằm mục đích hạn chế nhà thầu. Nhà thầu có thể đưa ra các tiêu chuẩn chất lượng dịch vụ khác với điều kiện chứng minh được với Chủ đầu tư rằng những tiêu chuẩn thay thế này tương đương hoặc cao hơn so với những tiêu chuẩn quy định tại Chương V.</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16. Tài liệu chứng minh năng lực và kinh nghiệm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16.1. Nhà thầu kê khai các thông tin cần thiết vào các Mẫu trong Chương IV để cung cấp thông tin về năng lực, kinh nghiệm theo yêu cầu tại Chương III. Trường hợp được mời vào đối chiếu tài liệu, nhà thầu phải chuẩn bị sẵn sàng các tài liệu để đối chiếu với thông tin nhà thầu kê khai trong E-HSDT và để Chủ đầu tư lưu trữ.</w:t>
            </w:r>
          </w:p>
          <w:p>
            <w:pPr>
              <w:spacing w:before="0" w:after="60"/>
              <w:jc w:val="left"/>
            </w:pPr>
            <w:r>
              <w:rPr>
                <w:rFonts w:ascii="Times New Roman" w:hAnsi="Times New Roman" w:eastAsia="Times New Roman" w:cs="Times New Roman"/>
                <w:b w:val="0"/>
                <w:i w:val="0"/>
                <w:caps w:val="0"/>
                <w:color w:val="000000"/>
                <w:sz w:val="26"/>
              </w:rPr>
              <w:t>16.2. Trường hợp gói thầu đã áp dụng sơ tuyển, nếu có sự thay đổi về năng lực và kinh nghiệm của nhà thầu khi nộp E-HSDT và khi tham dự sơ tuyển thì phải cập nhật lại năng lực và kinh nghiệm của mình.</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17. Thời hạn có hiệu lực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17.1. E-HSDT có hiệu lực không ngắn hơn thời hạn quy định tại E-BDL.</w:t>
            </w:r>
          </w:p>
          <w:p>
            <w:pPr>
              <w:spacing w:before="0" w:after="60"/>
              <w:jc w:val="left"/>
            </w:pPr>
            <w:r>
              <w:rPr>
                <w:rFonts w:ascii="Times New Roman" w:hAnsi="Times New Roman" w:eastAsia="Times New Roman" w:cs="Times New Roman"/>
                <w:b w:val="0"/>
                <w:i w:val="0"/>
                <w:caps w:val="0"/>
                <w:color w:val="000000"/>
                <w:sz w:val="26"/>
              </w:rPr>
              <w:t>17.2. Trong trường hợp cần thiết, trước khi hết thời hạn hiệu lực của E-HSDT, Chủ đầu tư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 trong trường hợp này, nhà thầu không phải nộp bản gốc thư bảo lãnh cho Chủ đầu tư. Nhà thầu chấp nhận đề nghị gia hạn E-HSDT không được phép thay đổi bất kỳ nội dung nào của E-HSDT, trừ việc gia hạn hiệu lực của bảo đảm dự thầu. Việc đề nghị gia hạn và chấp thuận hoặc không chấp thuận gia hạn được thực hiện trên Hệ thống.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18. Bảo đảm dự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18.1. Khi tham dự thầu qua mạng, nhà thầu phải thực hiện biện pháp bảo đảm dự thầu trước thời điểm đóng thầu theo một hoặc các hình thức thư bảo lãnh do đại diện hợp pháp của tổ chức tín dụng trong nước hoặc chi nhánh ngân hàng nước ngoài được thành lập theo pháp luật Việt Nam phát hành hoặc giấy chứng nhận bảo hiểm bảo lãnh của doanh nghiệp bảo hiểm phi nhân thọ trong nước, chi nhánh doanh nghiệp bảo hiểm phi nhân thọ nước ngoài được thành lập theo pháp luật Việt Nam phát hành. Trường hợp giá trị bảo đảm dự thầu nhỏ hơn 50 triệu đồng thì thực hiện theo quy định tại Mục 18.8 E-CDNT. Đối với bảo lãnh dự thầu hoặc chứng nhận bảo hiểm bảo lãnh bằng văn bản giấy, nhà thầu quét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 Đối với nhà thầu liên danh, các thành viên liên danh phải sử dụng cùng thể thức bảo lãnh dự thầu: bảo lãnh dự thầu điện tử hoặc bằng giấy.</w:t>
            </w:r>
          </w:p>
          <w:p>
            <w:pPr>
              <w:spacing w:before="0" w:after="60"/>
              <w:jc w:val="left"/>
            </w:pPr>
            <w:r>
              <w:rPr>
                <w:rFonts w:ascii="Times New Roman" w:hAnsi="Times New Roman" w:eastAsia="Times New Roman" w:cs="Times New Roman"/>
                <w:b w:val="0"/>
                <w:i w:val="0"/>
                <w:caps w:val="0"/>
                <w:color w:val="000000"/>
                <w:sz w:val="26"/>
              </w:rPr>
              <w:t>Trường hợp liên danh thì phải thực hiện biện pháp bảo đảm dự thầu theo một trong hai cách sau:</w:t>
            </w:r>
          </w:p>
          <w:p>
            <w:pPr>
              <w:spacing w:before="0" w:after="60"/>
              <w:jc w:val="left"/>
            </w:pPr>
            <w:r>
              <w:rPr>
                <w:rFonts w:ascii="Times New Roman" w:hAnsi="Times New Roman" w:eastAsia="Times New Roman" w:cs="Times New Roman"/>
                <w:b w:val="0"/>
                <w:i w:val="0"/>
                <w:caps w:val="0"/>
                <w:color w:val="000000"/>
                <w:sz w:val="26"/>
              </w:rPr>
              <w:t>a) Từng thành viên trong liên danh sẽ thực hiện riêng rẽ bảo đảm dự thầu nhưng bảo đảm tổng giá trị không thấp hơn mức yêu cầu quy định tại Mục 18.2 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pPr>
              <w:spacing w:before="0" w:after="60"/>
              <w:jc w:val="left"/>
            </w:pPr>
            <w:r>
              <w:rPr>
                <w:rFonts w:ascii="Times New Roman" w:hAnsi="Times New Roman" w:eastAsia="Times New Roman" w:cs="Times New Roman"/>
                <w:b w:val="0"/>
                <w:i w:val="0"/>
                <w:caps w:val="0"/>
                <w:color w:val="000000"/>
                <w:sz w:val="26"/>
              </w:rPr>
              <w:t>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18.2 E-CDNT.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pPr>
              <w:spacing w:before="0" w:after="60"/>
              <w:jc w:val="left"/>
            </w:pPr>
            <w:r>
              <w:rPr>
                <w:rFonts w:ascii="Times New Roman" w:hAnsi="Times New Roman" w:eastAsia="Times New Roman" w:cs="Times New Roman"/>
                <w:b w:val="0"/>
                <w:i w:val="0"/>
                <w:caps w:val="0"/>
                <w:color w:val="000000"/>
                <w:sz w:val="26"/>
              </w:rPr>
              <w:t>18.2. Giá trị, đồng tiền và thời gian có hiệu lực của bảo đảm dự thầu được quy định cụ thể tại E-BDL. Thời gian có hiệu lực của bảo đảm dự thầu được tính kể từ ngày có thời điểm đóng thầu đến ngày cuối cùng có hiệu lực của bảo đảm dự thầu (thời điểm kết thúc hiệu lực của bảo đảm dự thầu nằm trong ngày cuối cùng có hiệu lực của bảo đảm dự thầu mà không cần thiết phải đến hết 24 giờ của ngày đó).</w:t>
            </w:r>
          </w:p>
          <w:p>
            <w:pPr>
              <w:spacing w:before="0" w:after="60"/>
              <w:jc w:val="left"/>
            </w:pPr>
            <w:r>
              <w:rPr>
                <w:rFonts w:ascii="Times New Roman" w:hAnsi="Times New Roman" w:eastAsia="Times New Roman" w:cs="Times New Roman"/>
                <w:b w:val="0"/>
                <w:i w:val="0"/>
                <w:caps w:val="0"/>
                <w:color w:val="000000"/>
                <w:sz w:val="26"/>
              </w:rPr>
              <w:t>18.3. 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hợp lệ, ký trước khi Chủ đầu tư phát hành E-HSMT, có kèm theo các điều kiện gây bất lợi cho Chủ đầu tư (trong đó bao gồm việc không đáp ứng đủ các cam kết theo quy định tại Mẫu số 04A, Mẫu số 04B Chương IV).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 Đối với gói thầu bảo hiểm, nhà thầu tham dự thầu không được xuất trình giấy chứng nhận bảo hiểm bảo lãnh do mình phát hành.</w:t>
            </w:r>
          </w:p>
          <w:p>
            <w:pPr>
              <w:spacing w:before="0" w:after="60"/>
              <w:jc w:val="left"/>
            </w:pPr>
            <w:r>
              <w:rPr>
                <w:rFonts w:ascii="Times New Roman" w:hAnsi="Times New Roman" w:eastAsia="Times New Roman" w:cs="Times New Roman"/>
                <w:b w:val="0"/>
                <w:i w:val="0"/>
                <w:caps w:val="0"/>
                <w:color w:val="000000"/>
                <w:sz w:val="26"/>
              </w:rPr>
              <w:t>18.4. Nhà thầu không được lựa chọn sẽ được hoàn trả hoặc giải tỏa bảo đảm dự thầu theo thời hạn quy định tại E-BDL. Đối với nhà thầu được lựa chọn, bảo đảm dự thầu được hoàn trả hoặc giải tỏa khi hợp đồng có hiệu lực.</w:t>
            </w:r>
          </w:p>
          <w:p>
            <w:pPr>
              <w:spacing w:before="0" w:after="60"/>
              <w:jc w:val="left"/>
            </w:pPr>
            <w:r>
              <w:rPr>
                <w:rFonts w:ascii="Times New Roman" w:hAnsi="Times New Roman" w:eastAsia="Times New Roman" w:cs="Times New Roman"/>
                <w:b w:val="0"/>
                <w:i w:val="0"/>
                <w:caps w:val="0"/>
                <w:color w:val="000000"/>
                <w:sz w:val="26"/>
              </w:rPr>
              <w:t>18.5. Các trường hợp phải nộp bản gốc thư bảo lãnh dự thầu, giấy chứng nhận bảo hiểm bảo lãnh (đối với trường hợp sử dụng bảo lãnh dự thầu bằng văn bản giấy) cho Chủ đầu tư:</w:t>
            </w:r>
          </w:p>
          <w:p>
            <w:pPr>
              <w:spacing w:before="0" w:after="60"/>
              <w:jc w:val="left"/>
            </w:pPr>
            <w:r>
              <w:rPr>
                <w:rFonts w:ascii="Times New Roman" w:hAnsi="Times New Roman" w:eastAsia="Times New Roman" w:cs="Times New Roman"/>
                <w:b w:val="0"/>
                <w:i w:val="0"/>
                <w:caps w:val="0"/>
                <w:color w:val="000000"/>
                <w:sz w:val="26"/>
              </w:rPr>
              <w:t>a) Nhà thầu được mời vào đối chiếu tài liệu;</w:t>
            </w:r>
          </w:p>
          <w:p>
            <w:pPr>
              <w:spacing w:before="0" w:after="60"/>
              <w:jc w:val="left"/>
            </w:pPr>
            <w:r>
              <w:rPr>
                <w:rFonts w:ascii="Times New Roman" w:hAnsi="Times New Roman" w:eastAsia="Times New Roman" w:cs="Times New Roman"/>
                <w:b w:val="0"/>
                <w:i w:val="0"/>
                <w:caps w:val="0"/>
                <w:color w:val="000000"/>
                <w:sz w:val="26"/>
              </w:rPr>
              <w:t>b) Nhà thầu vi phạm quy định của pháp luật về đấu thầu dẫn đến không được hoàn trả giá trị bảo đảm dự thầu trong các trường hợp sau đây:</w:t>
            </w:r>
          </w:p>
          <w:p>
            <w:pPr>
              <w:spacing w:before="0" w:after="60"/>
              <w:jc w:val="left"/>
            </w:pPr>
            <w:r>
              <w:rPr>
                <w:rFonts w:ascii="Times New Roman" w:hAnsi="Times New Roman" w:eastAsia="Times New Roman" w:cs="Times New Roman"/>
                <w:b w:val="0"/>
                <w:i w:val="0"/>
                <w:caps w:val="0"/>
                <w:color w:val="000000"/>
                <w:sz w:val="26"/>
              </w:rPr>
              <w:t>- Sau thời điểm đóng thầu và trong thời gian có hiệu lực của E-HSDT, nhà thầu có văn bản rút E-HSDT hoặc từ chối thực hiện một hoặc các công việc đã đề xuất trong E-HSDT theo yêu cầu của E-HSMT;</w:t>
            </w:r>
          </w:p>
          <w:p>
            <w:pPr>
              <w:spacing w:before="0" w:after="60"/>
              <w:jc w:val="left"/>
            </w:pPr>
            <w:r>
              <w:rPr>
                <w:rFonts w:ascii="Times New Roman" w:hAnsi="Times New Roman" w:eastAsia="Times New Roman" w:cs="Times New Roman"/>
                <w:b w:val="0"/>
                <w:i w:val="0"/>
                <w:caps w:val="0"/>
                <w:color w:val="000000"/>
                <w:sz w:val="26"/>
              </w:rPr>
              <w:t>- Nhà thầu có hành vi vi phạm quy định tại Điều 16 của Luật Đấu thầu hoặc vi phạm pháp luật về đấu thầu dẫn đến phải hủy thầu;</w:t>
            </w:r>
          </w:p>
          <w:p>
            <w:pPr>
              <w:spacing w:before="0" w:after="60"/>
              <w:jc w:val="left"/>
            </w:pPr>
            <w:r>
              <w:rPr>
                <w:rFonts w:ascii="Times New Roman" w:hAnsi="Times New Roman" w:eastAsia="Times New Roman" w:cs="Times New Roman"/>
                <w:b w:val="0"/>
                <w:i w:val="0"/>
                <w:caps w:val="0"/>
                <w:color w:val="000000"/>
                <w:sz w:val="26"/>
              </w:rPr>
              <w:t>- Nhà thầu không thực hiện biện pháp bảo đảm thực hiện hợp đồng theo quy định tại Điều 68 của Luật Đấu thầu;</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ký kết hợp đồng, thỏa thuận khung trong thời hạn 10 ngày kể từ ngày hoàn thiện hợp đồng, thỏa thuận khung, trừ trường hợp bất khả kháng.</w:t>
            </w:r>
          </w:p>
          <w:p>
            <w:pPr>
              <w:spacing w:before="0" w:after="60"/>
              <w:jc w:val="left"/>
            </w:pPr>
            <w:r>
              <w:rPr>
                <w:rFonts w:ascii="Times New Roman" w:hAnsi="Times New Roman" w:eastAsia="Times New Roman" w:cs="Times New Roman"/>
                <w:b w:val="0"/>
                <w:i w:val="0"/>
                <w:caps w:val="0"/>
                <w:color w:val="000000"/>
                <w:sz w:val="26"/>
              </w:rPr>
              <w:t>18.6. Trong vòng 05 ngày làm việc, kể từ ngày nhận được yêu cầu 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pPr>
              <w:spacing w:before="0" w:after="60"/>
              <w:jc w:val="left"/>
            </w:pPr>
            <w:r>
              <w:rPr>
                <w:rFonts w:ascii="Times New Roman" w:hAnsi="Times New Roman" w:eastAsia="Times New Roman" w:cs="Times New Roman"/>
                <w:b w:val="0"/>
                <w:i w:val="0"/>
                <w:caps w:val="0"/>
                <w:color w:val="000000"/>
                <w:sz w:val="26"/>
              </w:rPr>
              <w:t>18.7. Trường hợp gói thầu chia thành nhiều phần độc lập, nhà thầu có thể lựa chọn nộp bảo đảm dự thầu theo một trong hai cách sau đây:</w:t>
            </w:r>
          </w:p>
          <w:p>
            <w:pPr>
              <w:spacing w:before="0" w:after="60"/>
              <w:jc w:val="left"/>
            </w:pPr>
            <w:r>
              <w:rPr>
                <w:rFonts w:ascii="Times New Roman" w:hAnsi="Times New Roman" w:eastAsia="Times New Roman" w:cs="Times New Roman"/>
                <w:b w:val="0"/>
                <w:i w:val="0"/>
                <w:caps w:val="0"/>
                <w:color w:val="000000"/>
                <w:sz w:val="26"/>
              </w:rPr>
              <w:t>a) Bảo đảm dự thầu chung cho tất các phần mà mình tham dự thầu (giá trị bảo đảm dự thầu sẽ bằng tổng giá trị của các phần nhà thầu tham dự). Trường hợp giá trị bảo đảm dự thầu do nhà thầu nộp nhỏ hơn tổng giá trị cộng gộp thì Chủ đầu tư được quyền quyết định lựa chọn bảo đảm dự thầu đó được sử dụng cho phần nào trong số các phần mà nhà thầu tham dự;</w:t>
            </w:r>
          </w:p>
          <w:p>
            <w:pPr>
              <w:spacing w:before="0" w:after="60"/>
              <w:jc w:val="left"/>
            </w:pPr>
            <w:r>
              <w:rPr>
                <w:rFonts w:ascii="Times New Roman" w:hAnsi="Times New Roman" w:eastAsia="Times New Roman" w:cs="Times New Roman"/>
                <w:b w:val="0"/>
                <w:i w:val="0"/>
                <w:caps w:val="0"/>
                <w:color w:val="000000"/>
                <w:sz w:val="26"/>
              </w:rPr>
              <w:t>b) Bảo đảm dự thầu riêng cho từng phần mà nhà thầu tham dự.</w:t>
            </w:r>
          </w:p>
          <w:p>
            <w:pPr>
              <w:spacing w:before="0" w:after="60"/>
              <w:jc w:val="left"/>
            </w:pPr>
            <w:r>
              <w:rPr>
                <w:rFonts w:ascii="Times New Roman" w:hAnsi="Times New Roman" w:eastAsia="Times New Roman" w:cs="Times New Roman"/>
                <w:b w:val="0"/>
                <w:i w:val="0"/>
                <w:caps w:val="0"/>
                <w:color w:val="000000"/>
                <w:sz w:val="26"/>
              </w:rPr>
              <w:t>Trường hợp nhà thầu vi phạm dẫn đến không được hoàn trả bảo đảm dự thầu theo quy định tại điểm b Mục 18.5 E-CDNT thì việc không hoàn trả giá trị bảo đảm dự thầu được tính trên phần mà nhà thầu vi phạm.</w:t>
            </w:r>
          </w:p>
          <w:p>
            <w:pPr>
              <w:spacing w:before="0" w:after="60"/>
              <w:jc w:val="left"/>
            </w:pPr>
            <w:r>
              <w:rPr>
                <w:rFonts w:ascii="Times New Roman" w:hAnsi="Times New Roman" w:eastAsia="Times New Roman" w:cs="Times New Roman"/>
                <w:b w:val="0"/>
                <w:i w:val="0"/>
                <w:caps w:val="0"/>
                <w:color w:val="000000"/>
                <w:sz w:val="26"/>
              </w:rPr>
              <w:t>18.8. Đối với gói thầu có giá trị bảo đảm dự thầu theo quy định tại Mục 18.2 E-CDNT nhỏ hơn 50 triệu đồng, tại thời điểm đóng thầu, nhà thầu không phải đính kèm thư bảo lãnh hoặc giấy chứng nhận bảo hiểm bảo lãnh theo quy định tại Mục 18.1 E-CDNT mà phải cam kết trong đơn dự thầu (không phải đính kèm cam kết riêng bằng văn bản) là nếu được mời vào đối chiếu tài liệu hoặc vi phạm quy định tại điểm b Mục 18.5 E-CDNT thì phải nộp một khoản tiền hoặc Séc bảo chi (trong trường hợp thời hạn hiệu lực của Séc bảo chi đáp ứng yêu cầu của Chủ đầu tư) hoặc thư bảo lãnh dự thầu hoặc giấy chứng nhận bảo hiểm bảo lãnh với giá trị quy định tại Mục 18.2 E-CDNT (thời gian có hiệu lực của thư bảo lãnh dự thầu hoặc giấy chứng nhận bảo hiểm bảo lãnh là số ngày được quy định trong Thông báo mời đối chiếu tài liệu và được tính từ ngày thực hiện đối chiếu tài liệu). Trường hợp nhà thầu chọn áp dụng thư bảo lãnh hoặc giấy chứng nhận bảo hiểm bảo lãnh khi đối chiếu tài liệu 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Chủ đầu tư) với giá trị quy định tại Mục 18.2 E-CDNT. Trường hợp nhà thầu không thực hiện theo cam kết nêu trên, nhà thầu bị xử lý theo đúng cam kết của nhà thầu nêu trong đơn dự thầu (bị đánh giá không đảm bảo uy tín khi tham dự thầu theo quy định tại khoản 1 Điều 20 của Nghị định số 214/2025/NĐ-CP, nêu tên trên Hệ thống mạng đấu thầu quốc gia và bị khóa tài khoản trong vòng 06 tháng kể từ ngày chủ đầu tư công khai tên nhà thầu trên Hệ thống mạng đấu thầu quốc gia, trừ trường hợp bất khả kháng). Trường hợp nhà thầu vi phạm quy định tại điểm b Mục 18.5 E-CDNT thì nhà thầu sẽ không được hoàn trả khoản tiền bảo đảm dự thầu này.</w:t>
            </w:r>
          </w:p>
          <w:p>
            <w:pPr>
              <w:spacing w:before="0" w:after="60"/>
              <w:jc w:val="left"/>
            </w:pPr>
            <w:r>
              <w:rPr>
                <w:rFonts w:ascii="Times New Roman" w:hAnsi="Times New Roman" w:eastAsia="Times New Roman" w:cs="Times New Roman"/>
                <w:b w:val="0"/>
                <w:i w:val="0"/>
                <w:caps w:val="0"/>
                <w:color w:val="000000"/>
                <w:sz w:val="26"/>
              </w:rPr>
              <w:t>18.9. Đối với gói thầu đấu thầu trước, bảo đảm dự thầu thực hiện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19. Thời điểm đóng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19.1. Thời điểm đóng thầu là thời điểm quy định tại E-TBMT.</w:t>
            </w:r>
          </w:p>
          <w:p>
            <w:pPr>
              <w:spacing w:before="0" w:after="60"/>
              <w:jc w:val="left"/>
            </w:pPr>
            <w:r>
              <w:rPr>
                <w:rFonts w:ascii="Times New Roman" w:hAnsi="Times New Roman" w:eastAsia="Times New Roman" w:cs="Times New Roman"/>
                <w:b w:val="0"/>
                <w:i w:val="0"/>
                <w:caps w:val="0"/>
                <w:color w:val="000000"/>
                <w:sz w:val="26"/>
              </w:rPr>
              <w:t>19.2. Chủ đầu tư có thể gia hạn thời điểm đóng thầu bằng cách sửa đổi E-TBMT. Khi gia hạn thời điểm đóng thầu, mọi trách nhiệm của Chủ đầu tư và nhà thầu theo thời điểm đóng thầu trước đó sẽ được thay đổi theo thời điểm đóng thầu mới được gia hạn.</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20. Nộp, rút và sửa đổi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20.1. Nộp E-HSDT: Nhà thầu chỉ nộp một bộ E-HSDT đối với một E-TBMT khi tham gia đấu thầu qua mạng. Trường hợp liên danh, thành viên đứng đầu liên danh (theo thỏa thuận trong liên danh) nộp E-HSDT sau khi được sự chấp thuận của tất cả các thành viên trong liên danh.</w:t>
            </w:r>
          </w:p>
          <w:p>
            <w:pPr>
              <w:spacing w:before="0" w:after="60"/>
              <w:jc w:val="left"/>
            </w:pPr>
            <w:r>
              <w:rPr>
                <w:rFonts w:ascii="Times New Roman" w:hAnsi="Times New Roman" w:eastAsia="Times New Roman" w:cs="Times New Roman"/>
                <w:b w:val="0"/>
                <w:i w:val="0"/>
                <w:caps w:val="0"/>
                <w:color w:val="000000"/>
                <w:sz w:val="26"/>
              </w:rPr>
              <w:t>20.2. Sửa đổi, nộp lại E-HSDT: Trường hợp cần sửa đổi E-HSDT đã nộp, nhà thầu phải tiến hành rút toàn bộ E-HSDT đã nộp trước đó để sửa đổi cho phù hợp. Sau khi hoàn thiện E-HSDT, nhà thầu tiến hành nộp lại E-HSDT mới. Trường hợp nhà thầu đã nộp E-HSDT trước khi Chủ đầu tư thực hiện sửa đổi E-HSMT (nếu có) thì nhà thầu phải nộp lại E-HSDT mới cho phù hợp với E-HSMT được sửa đổi. Trường hợp nhà thầu không nộp lại E-HSDT thì E-HSDT đã nộp trước thời điểm E-HSMT được sửa đổi sẽ không được mở, xem xét, đánh giá.</w:t>
            </w:r>
          </w:p>
          <w:p>
            <w:pPr>
              <w:spacing w:before="0" w:after="60"/>
              <w:jc w:val="left"/>
            </w:pPr>
            <w:r>
              <w:rPr>
                <w:rFonts w:ascii="Times New Roman" w:hAnsi="Times New Roman" w:eastAsia="Times New Roman" w:cs="Times New Roman"/>
                <w:b w:val="0"/>
                <w:i w:val="0"/>
                <w:caps w:val="0"/>
                <w:color w:val="000000"/>
                <w:sz w:val="26"/>
              </w:rPr>
              <w:t>20.3. Rút E-HSDT: nhà thầu được rút E-HSDT trước thời điểm đóng thầu. Trường hợp rút E-HSDT sau thời điểm đóng thầu và trong thời gian có hiệu lực của E-HSDT thì nhà thầu không được hoàn trả bảo đảm dự thầu, bị đánh giá không đảm bảo uy tín khi tham dự thầu và không được tiếp tục đánh giá E-HSDT. Hệ thống thông báo cho nhà thầu tình trạng rút E-HSDT (thành công hay không thành công). Hệ thống ghi lại thông tin về thời gian rút E-HSDT của nhà thầu.</w:t>
            </w:r>
          </w:p>
          <w:p>
            <w:pPr>
              <w:spacing w:before="0" w:after="60"/>
              <w:jc w:val="left"/>
            </w:pPr>
            <w:r>
              <w:rPr>
                <w:rFonts w:ascii="Times New Roman" w:hAnsi="Times New Roman" w:eastAsia="Times New Roman" w:cs="Times New Roman"/>
                <w:b w:val="0"/>
                <w:i w:val="0"/>
                <w:caps w:val="0"/>
                <w:color w:val="000000"/>
                <w:sz w:val="26"/>
              </w:rPr>
              <w:t>20.4. Nhà thầu chỉ được rút, sửa đổi, nộp lại E-HSDT trước thời điểm đóng thầu. Sau thời điểm đóng thầu, tất cả các E-HSDT nộp thành công trên Hệ thống (ngoại trừ E-HSDT của nhà thầu đã nộp trước thời điểm sửa đổi E-HSMT và nhà thầu không nộp E-HSDT mới cho phù hợp với E-HSMT được sửa đổi) đều được mở thầu để đánh giá.</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21. Mở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21.1. Chủ đầu tư phải tiến hành mở thầu và công khai biên bản mở thầu trên Hệ thống trong thời hạn không quá 02 giờ, kể từ thời điểm đóng thầu. Trường hợp có 01 nhà thầu nộp E-HSDT, Chủ đầu tư xem xét, xử lý tình huống theo quy định tại khoản 5 Điều 140 của Nghị định số 214/2025/NĐ-CP. Trường hợp không có nhà thầu nộp E-HSDT, Chủ đầu tư xem xét gia hạn thời điểm đóng thầu hoặc tổ chức lại việc lựa chọn nhà thầu qua mạng (hủy E-TBMT này và đăng tải E-TBMT mới) theo quy định tại khoản 4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21.2. Biên bản mở thầu được đăng tải công khai trên Hệ thống, bao gồm các nội dung chủ yếu sau:</w:t>
            </w:r>
          </w:p>
          <w:p>
            <w:pPr>
              <w:spacing w:before="0" w:after="60"/>
              <w:jc w:val="left"/>
            </w:pPr>
            <w:r>
              <w:rPr>
                <w:rFonts w:ascii="Times New Roman" w:hAnsi="Times New Roman" w:eastAsia="Times New Roman" w:cs="Times New Roman"/>
                <w:b w:val="0"/>
                <w:i w:val="0"/>
                <w:caps w:val="0"/>
                <w:color w:val="000000"/>
                <w:sz w:val="26"/>
              </w:rPr>
              <w:t>a) Thông tin về gói thầu:</w:t>
            </w:r>
          </w:p>
          <w:p>
            <w:pPr>
              <w:spacing w:before="0" w:after="60"/>
              <w:jc w:val="left"/>
            </w:pPr>
            <w:r>
              <w:rPr>
                <w:rFonts w:ascii="Times New Roman" w:hAnsi="Times New Roman" w:eastAsia="Times New Roman" w:cs="Times New Roman"/>
                <w:b w:val="0"/>
                <w:i w:val="0"/>
                <w:caps w:val="0"/>
                <w:color w:val="000000"/>
                <w:sz w:val="26"/>
              </w:rPr>
              <w:t>- Số E-TBMT;</w:t>
            </w:r>
          </w:p>
          <w:p>
            <w:pPr>
              <w:spacing w:before="0" w:after="60"/>
              <w:jc w:val="left"/>
            </w:pPr>
            <w:r>
              <w:rPr>
                <w:rFonts w:ascii="Times New Roman" w:hAnsi="Times New Roman" w:eastAsia="Times New Roman" w:cs="Times New Roman"/>
                <w:b w:val="0"/>
                <w:i w:val="0"/>
                <w:caps w:val="0"/>
                <w:color w:val="000000"/>
                <w:sz w:val="26"/>
              </w:rPr>
              <w:t>- Tên gói thầu;</w:t>
            </w:r>
          </w:p>
          <w:p>
            <w:pPr>
              <w:spacing w:before="0" w:after="60"/>
              <w:jc w:val="left"/>
            </w:pPr>
            <w:r>
              <w:rPr>
                <w:rFonts w:ascii="Times New Roman" w:hAnsi="Times New Roman" w:eastAsia="Times New Roman" w:cs="Times New Roman"/>
                <w:b w:val="0"/>
                <w:i w:val="0"/>
                <w:caps w:val="0"/>
                <w:color w:val="000000"/>
                <w:sz w:val="26"/>
              </w:rPr>
              <w:t>- Tên Chủ đầu tư;</w:t>
            </w:r>
          </w:p>
          <w:p>
            <w:pPr>
              <w:spacing w:before="0" w:after="60"/>
              <w:jc w:val="left"/>
            </w:pPr>
            <w:r>
              <w:rPr>
                <w:rFonts w:ascii="Times New Roman" w:hAnsi="Times New Roman" w:eastAsia="Times New Roman" w:cs="Times New Roman"/>
                <w:b w:val="0"/>
                <w:i w:val="0"/>
                <w:caps w:val="0"/>
                <w:color w:val="000000"/>
                <w:sz w:val="26"/>
              </w:rPr>
              <w:t>- Hình thức lựa chọn nhà thầu;</w:t>
            </w:r>
          </w:p>
          <w:p>
            <w:pPr>
              <w:spacing w:before="0" w:after="60"/>
              <w:jc w:val="left"/>
            </w:pPr>
            <w:r>
              <w:rPr>
                <w:rFonts w:ascii="Times New Roman" w:hAnsi="Times New Roman" w:eastAsia="Times New Roman" w:cs="Times New Roman"/>
                <w:b w:val="0"/>
                <w:i w:val="0"/>
                <w:caps w:val="0"/>
                <w:color w:val="000000"/>
                <w:sz w:val="26"/>
              </w:rPr>
              <w:t>- Loại hợp đồng;</w:t>
            </w:r>
          </w:p>
          <w:p>
            <w:pPr>
              <w:spacing w:before="0" w:after="60"/>
              <w:jc w:val="left"/>
            </w:pPr>
            <w:r>
              <w:rPr>
                <w:rFonts w:ascii="Times New Roman" w:hAnsi="Times New Roman" w:eastAsia="Times New Roman" w:cs="Times New Roman"/>
                <w:b w:val="0"/>
                <w:i w:val="0"/>
                <w:caps w:val="0"/>
                <w:color w:val="000000"/>
                <w:sz w:val="26"/>
              </w:rPr>
              <w:t>- Thời điểm hoàn thành mở thầu;</w:t>
            </w:r>
          </w:p>
          <w:p>
            <w:pPr>
              <w:spacing w:before="0" w:after="60"/>
              <w:jc w:val="left"/>
            </w:pPr>
            <w:r>
              <w:rPr>
                <w:rFonts w:ascii="Times New Roman" w:hAnsi="Times New Roman" w:eastAsia="Times New Roman" w:cs="Times New Roman"/>
                <w:b w:val="0"/>
                <w:i w:val="0"/>
                <w:caps w:val="0"/>
                <w:color w:val="000000"/>
                <w:sz w:val="26"/>
              </w:rPr>
              <w:t>- Tổng số nhà thầu tham dự.</w:t>
            </w:r>
          </w:p>
          <w:p>
            <w:pPr>
              <w:spacing w:before="0" w:after="60"/>
              <w:jc w:val="left"/>
            </w:pPr>
            <w:r>
              <w:rPr>
                <w:rFonts w:ascii="Times New Roman" w:hAnsi="Times New Roman" w:eastAsia="Times New Roman" w:cs="Times New Roman"/>
                <w:b w:val="0"/>
                <w:i w:val="0"/>
                <w:caps w:val="0"/>
                <w:color w:val="000000"/>
                <w:sz w:val="26"/>
              </w:rPr>
              <w:t>b) Thông tin về các nhà thầu tham dự:</w:t>
            </w:r>
          </w:p>
          <w:p>
            <w:pPr>
              <w:spacing w:before="0" w:after="60"/>
              <w:jc w:val="left"/>
            </w:pPr>
            <w:r>
              <w:rPr>
                <w:rFonts w:ascii="Times New Roman" w:hAnsi="Times New Roman" w:eastAsia="Times New Roman" w:cs="Times New Roman"/>
                <w:b w:val="0"/>
                <w:i w:val="0"/>
                <w:caps w:val="0"/>
                <w:color w:val="000000"/>
                <w:sz w:val="26"/>
              </w:rPr>
              <w:t>- Tên nhà thầu;</w:t>
            </w:r>
          </w:p>
          <w:p>
            <w:pPr>
              <w:spacing w:before="0" w:after="60"/>
              <w:jc w:val="left"/>
            </w:pPr>
            <w:r>
              <w:rPr>
                <w:rFonts w:ascii="Times New Roman" w:hAnsi="Times New Roman" w:eastAsia="Times New Roman" w:cs="Times New Roman"/>
                <w:b w:val="0"/>
                <w:i w:val="0"/>
                <w:caps w:val="0"/>
                <w:color w:val="000000"/>
                <w:sz w:val="26"/>
              </w:rPr>
              <w:t>- Giá dự thầu;</w:t>
            </w:r>
          </w:p>
          <w:p>
            <w:pPr>
              <w:spacing w:before="0" w:after="60"/>
              <w:jc w:val="left"/>
            </w:pPr>
            <w:r>
              <w:rPr>
                <w:rFonts w:ascii="Times New Roman" w:hAnsi="Times New Roman" w:eastAsia="Times New Roman" w:cs="Times New Roman"/>
                <w:b w:val="0"/>
                <w:i w:val="0"/>
                <w:caps w:val="0"/>
                <w:color w:val="000000"/>
                <w:sz w:val="26"/>
              </w:rPr>
              <w:t>- Tỷ lệ phần trăm (%) giảm giá (nếu có);</w:t>
            </w:r>
          </w:p>
          <w:p>
            <w:pPr>
              <w:spacing w:before="0" w:after="60"/>
              <w:jc w:val="left"/>
            </w:pPr>
            <w:r>
              <w:rPr>
                <w:rFonts w:ascii="Times New Roman" w:hAnsi="Times New Roman" w:eastAsia="Times New Roman" w:cs="Times New Roman"/>
                <w:b w:val="0"/>
                <w:i w:val="0"/>
                <w:caps w:val="0"/>
                <w:color w:val="000000"/>
                <w:sz w:val="26"/>
              </w:rPr>
              <w:t>- Giá dự thầu sau giảm giá (nếu có) (Hệ thống tự động tính trên cơ sở tính toán lại chi phí dự phòng sau khi giảm giá);</w:t>
            </w:r>
          </w:p>
          <w:p>
            <w:pPr>
              <w:spacing w:before="0" w:after="60"/>
              <w:jc w:val="left"/>
            </w:pPr>
            <w:r>
              <w:rPr>
                <w:rFonts w:ascii="Times New Roman" w:hAnsi="Times New Roman" w:eastAsia="Times New Roman" w:cs="Times New Roman"/>
                <w:b w:val="0"/>
                <w:i w:val="0"/>
                <w:caps w:val="0"/>
                <w:color w:val="000000"/>
                <w:sz w:val="26"/>
              </w:rPr>
              <w:t>- Giá trị và hiệu lực của bảo đảm dự thầu;</w:t>
            </w:r>
          </w:p>
          <w:p>
            <w:pPr>
              <w:spacing w:before="0" w:after="60"/>
              <w:jc w:val="left"/>
            </w:pPr>
            <w:r>
              <w:rPr>
                <w:rFonts w:ascii="Times New Roman" w:hAnsi="Times New Roman" w:eastAsia="Times New Roman" w:cs="Times New Roman"/>
                <w:b w:val="0"/>
                <w:i w:val="0"/>
                <w:caps w:val="0"/>
                <w:color w:val="000000"/>
                <w:sz w:val="26"/>
              </w:rPr>
              <w:t>- Thời gian có hiệu lực của E-HSDT;</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 Các thông tin liên quan khác (nếu có).</w:t>
            </w:r>
          </w:p>
          <w:p>
            <w:pPr>
              <w:spacing w:before="0" w:after="60"/>
              <w:jc w:val="left"/>
            </w:pPr>
            <w:r>
              <w:rPr>
                <w:rFonts w:ascii="Times New Roman" w:hAnsi="Times New Roman" w:eastAsia="Times New Roman" w:cs="Times New Roman"/>
                <w:b w:val="0"/>
                <w:i w:val="0"/>
                <w:caps w:val="0"/>
                <w:color w:val="000000"/>
                <w:sz w:val="26"/>
              </w:rPr>
              <w:t>c) Trường hợp gói thầu chia thành nhiều phần độc lập thì phải bao gồm các thông tin về giá dự thầu cho từng phần như điểm b khoản này.</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22. Bảo mật</w:t>
            </w:r>
          </w:p>
        </w:tc>
        <w:tc>
          <w:tcPr>
            <w:tcW w:type="dxa" w:w="7300"/>
          </w:tcPr>
          <w:p>
            <w:pPr>
              <w:spacing w:before="0" w:after="60"/>
              <w:jc w:val="left"/>
            </w:pPr>
            <w:r>
              <w:rPr>
                <w:rFonts w:ascii="Times New Roman" w:hAnsi="Times New Roman" w:eastAsia="Times New Roman" w:cs="Times New Roman"/>
                <w:b w:val="0"/>
                <w:i w:val="0"/>
                <w:caps w:val="0"/>
                <w:color w:val="000000"/>
                <w:sz w:val="26"/>
              </w:rPr>
              <w:t>22.1. Thông tin liên quan đến việc đánh giá E-HSDT và đề nghị trao hợp đồng phải được giữ bí mật và không được phép tiết lộ cho các nhà thầu hay bất kỳ người 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trong biên bản mở thầu.</w:t>
            </w:r>
          </w:p>
          <w:p>
            <w:pPr>
              <w:spacing w:before="0" w:after="60"/>
              <w:jc w:val="left"/>
            </w:pPr>
            <w:r>
              <w:rPr>
                <w:rFonts w:ascii="Times New Roman" w:hAnsi="Times New Roman" w:eastAsia="Times New Roman" w:cs="Times New Roman"/>
                <w:b w:val="0"/>
                <w:i w:val="0"/>
                <w:caps w:val="0"/>
                <w:color w:val="000000"/>
                <w:sz w:val="26"/>
              </w:rPr>
              <w:t>22.2. Trừ trường hợp làm rõ E-HSDT (nếu cần thiết) và đối chiếu tài liệu, nhà thầu không được phép tiếp xúc với Chủ đầu tư, thành viên tổ chuyên gia về các vấn đề liên quan đến E-HSDT của mình và các vấn đề khác liên quan đến gói thầu trong suốt thời gian từ khi mở thầu cho đến khi công khai kết quả lựa chọn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23. Làm rõ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23.1. Sau khi mở thầu, nhà thầu có trách nhiệm làm rõ E-HSDT theo yêu cầu của Chủ đầu tư, kể cả về tư cách hợp lệ, năng lực, kinh nghiệm, nghĩa vụ kê khai thuế và nộp thuế, tài liệu về nhân sự cụ thể đã được đề xuất trong E-HSDT của nhà thầu. 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việc làm rõ phải bảo đảm nguyên tắc không làm thay đổi nội dung cơ bản của E-HSDT đã nộp, không thay đổi giá dự thầu.</w:t>
            </w:r>
          </w:p>
          <w:p>
            <w:pPr>
              <w:spacing w:before="0" w:after="60"/>
              <w:jc w:val="left"/>
            </w:pPr>
            <w:r>
              <w:rPr>
                <w:rFonts w:ascii="Times New Roman" w:hAnsi="Times New Roman" w:eastAsia="Times New Roman" w:cs="Times New Roman"/>
                <w:b w:val="0"/>
                <w:i w:val="0"/>
                <w:caps w:val="0"/>
                <w:color w:val="000000"/>
                <w:sz w:val="26"/>
              </w:rPr>
              <w:t>23.2. Trong quá trình đánh giá, việc làm rõ E-HSDT giữa nhà thầu và Chủ đầu tư được thực hiện trực tiếp trên Hệ thống.</w:t>
            </w:r>
          </w:p>
          <w:p>
            <w:pPr>
              <w:spacing w:before="0" w:after="60"/>
              <w:jc w:val="left"/>
            </w:pPr>
            <w:r>
              <w:rPr>
                <w:rFonts w:ascii="Times New Roman" w:hAnsi="Times New Roman" w:eastAsia="Times New Roman" w:cs="Times New Roman"/>
                <w:b w:val="0"/>
                <w:i w:val="0"/>
                <w:caps w:val="0"/>
                <w:color w:val="000000"/>
                <w:sz w:val="26"/>
              </w:rPr>
              <w:t>23.3. Việc làm rõ E-HSDT chỉ được thực hiện giữa Chủ đầu tư và nhà thầu có E-HSDT cần phải làm rõ. Đối với các nội dung làm rõ ảnh hưởng trực tiếp đến việc đánh giá tư cách hợp lệ, năng lực, kinh nghiệm và yêu cầu về kỹ thuật, tài chính, nếu quá thời hạn làm rõ mà nhà thầu không thực hiện làm rõ hoặc có thực hiện làm rõ nhưng không đáp ứng được yêu cầu làm rõ của Chủ đầu tư thì Chủ đầu tư sẽ đánh giá E-HSDT của nhà thầu theo E-HSDT nộp trước thời điểm đóng thầu. Chủ đầu tư phải dành cho nhà thầu một khoảng thời gian hợp lý nhưng không ít hơn 03 ngày làm việc để nhà thầu thực hiện việc làm rõ E-HSDT.</w:t>
            </w:r>
          </w:p>
          <w:p>
            <w:pPr>
              <w:spacing w:before="0" w:after="60"/>
              <w:jc w:val="left"/>
            </w:pPr>
            <w:r>
              <w:rPr>
                <w:rFonts w:ascii="Times New Roman" w:hAnsi="Times New Roman" w:eastAsia="Times New Roman" w:cs="Times New Roman"/>
                <w:b w:val="0"/>
                <w:i w:val="0"/>
                <w:caps w:val="0"/>
                <w:color w:val="000000"/>
                <w:sz w:val="26"/>
              </w:rPr>
              <w:t>23.4. Nhà thầu không thể tự làm rõ E-HSDT sau thời điểm đóng thầu.</w:t>
            </w:r>
          </w:p>
          <w:p>
            <w:pPr>
              <w:spacing w:before="0" w:after="60"/>
              <w:jc w:val="left"/>
            </w:pPr>
            <w:r>
              <w:rPr>
                <w:rFonts w:ascii="Times New Roman" w:hAnsi="Times New Roman" w:eastAsia="Times New Roman" w:cs="Times New Roman"/>
                <w:b w:val="0"/>
                <w:i w:val="0"/>
                <w:caps w:val="0"/>
                <w:color w:val="000000"/>
                <w:sz w:val="26"/>
              </w:rPr>
              <w:t>23.5. Trường hợp có sự không thống nhất trong nội dung của E-HSDT hoặc có nội dung chưa rõ thì Chủ đầu tư yêu cầu nhà thầu làm rõ trên cơ sở tuân thủ quy định tại Mục 23.1 E-CDNT.</w:t>
            </w:r>
          </w:p>
          <w:p>
            <w:pPr>
              <w:spacing w:before="0" w:after="60"/>
              <w:jc w:val="left"/>
            </w:pPr>
            <w:r>
              <w:rPr>
                <w:rFonts w:ascii="Times New Roman" w:hAnsi="Times New Roman" w:eastAsia="Times New Roman" w:cs="Times New Roman"/>
                <w:b w:val="0"/>
                <w:i w:val="0"/>
                <w:caps w:val="0"/>
                <w:color w:val="000000"/>
                <w:sz w:val="26"/>
              </w:rPr>
              <w:t>23.6. Trường hợp có nghi ngờ về tính xác thực của các tài liệu do nhà thầu cung cấp, Chủ đầu tư được xác minh với các tổ chức, cá nhân có liên quan đến nội dung của tài liệu.</w:t>
            </w:r>
          </w:p>
          <w:p>
            <w:pPr>
              <w:spacing w:before="0" w:after="60"/>
              <w:jc w:val="left"/>
            </w:pPr>
            <w:r>
              <w:rPr>
                <w:rFonts w:ascii="Times New Roman" w:hAnsi="Times New Roman" w:eastAsia="Times New Roman" w:cs="Times New Roman"/>
                <w:b w:val="0"/>
                <w:i w:val="0"/>
                <w:caps w:val="0"/>
                <w:color w:val="000000"/>
                <w:sz w:val="26"/>
              </w:rPr>
              <w:t>23.7. Trường hợp E-HSMT có yêu cầu về cam kết, hợp đồng nguyên tắc thuê thiết bị, máy móc, bảo hành, bảo trì, duy tu, bảo dưỡng mà E-HSDT không đính kèm các tài liệu này thì Chủ đầu tư yêu cầu nhà thầu làm rõ E-HSDT, bổ sung tài liệu trong một khoảng thời gian phù hợp nhưng không ít hơn 03 ngày làm việc để làm cơ sở đánh giá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24. Các sai khác, đặt điều kiện và bỏ sót nội dung</w:t>
            </w:r>
          </w:p>
        </w:tc>
        <w:tc>
          <w:tcPr>
            <w:tcW w:type="dxa" w:w="7300"/>
          </w:tcPr>
          <w:p>
            <w:pPr>
              <w:spacing w:before="0" w:after="60"/>
              <w:jc w:val="left"/>
            </w:pPr>
            <w:r>
              <w:rPr>
                <w:rFonts w:ascii="Times New Roman" w:hAnsi="Times New Roman" w:eastAsia="Times New Roman" w:cs="Times New Roman"/>
                <w:b w:val="0"/>
                <w:i w:val="0"/>
                <w:caps w:val="0"/>
                <w:color w:val="000000"/>
                <w:sz w:val="26"/>
              </w:rPr>
              <w:t>24.1. “Sai khác” là các khác biệt so với yêu cầu nêu trong E-HSMT.</w:t>
            </w:r>
          </w:p>
          <w:p>
            <w:pPr>
              <w:spacing w:before="0" w:after="60"/>
              <w:jc w:val="left"/>
            </w:pPr>
            <w:r>
              <w:rPr>
                <w:rFonts w:ascii="Times New Roman" w:hAnsi="Times New Roman" w:eastAsia="Times New Roman" w:cs="Times New Roman"/>
                <w:b w:val="0"/>
                <w:i w:val="0"/>
                <w:caps w:val="0"/>
                <w:color w:val="000000"/>
                <w:sz w:val="26"/>
              </w:rPr>
              <w:t>24.2. “Đặt điều kiện” là việc đặt ra các điều kiện có tính hạn chế hoặc thể hiện sự không chấp nhận hoàn toàn đối với các yêu cầu nêu trong E-HSMT.</w:t>
            </w:r>
          </w:p>
          <w:p>
            <w:pPr>
              <w:spacing w:before="0" w:after="60"/>
              <w:jc w:val="left"/>
            </w:pPr>
            <w:r>
              <w:rPr>
                <w:rFonts w:ascii="Times New Roman" w:hAnsi="Times New Roman" w:eastAsia="Times New Roman" w:cs="Times New Roman"/>
                <w:b w:val="0"/>
                <w:i w:val="0"/>
                <w:caps w:val="0"/>
                <w:color w:val="000000"/>
                <w:sz w:val="26"/>
              </w:rPr>
              <w:t>24.3. “Bỏ sót nội dung” là việc nhà thầu không cung cấp được một phần hoặc toàn bộ thông tin hay tài liệu theo yêu cầu nêu trong E-HSMT.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25. Xác định tính đáp ứng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25.1. Tổ chuyên gia sẽ xác định tính đáp ứng của E-HSDT dựa trên nội dung của E-HSDT theo quy định tại Mục 10 E-CDNT.</w:t>
            </w:r>
          </w:p>
          <w:p>
            <w:pPr>
              <w:spacing w:before="0" w:after="60"/>
              <w:jc w:val="left"/>
            </w:pPr>
            <w:r>
              <w:rPr>
                <w:rFonts w:ascii="Times New Roman" w:hAnsi="Times New Roman" w:eastAsia="Times New Roman" w:cs="Times New Roman"/>
                <w:b w:val="0"/>
                <w:i w:val="0"/>
                <w:caps w:val="0"/>
                <w:color w:val="000000"/>
                <w:sz w:val="26"/>
              </w:rPr>
              <w:t>25.2. E-HSDT đáp ứng cơ bản là E-HSDT đáp ứng các yêu cầu nêu trong E-HSMT mà không có các sai khác, đặt điều kiện hoặc bỏ sót nội dung cơ bản. Sai khác, đặt điều kiện hoặc bỏ sót nội dung cơ bản nghĩa là những điểm trong E-HSDT mà:</w:t>
            </w:r>
          </w:p>
          <w:p>
            <w:pPr>
              <w:spacing w:before="0" w:after="60"/>
              <w:jc w:val="left"/>
            </w:pPr>
            <w:r>
              <w:rPr>
                <w:rFonts w:ascii="Times New Roman" w:hAnsi="Times New Roman" w:eastAsia="Times New Roman" w:cs="Times New Roman"/>
                <w:b w:val="0"/>
                <w:i w:val="0"/>
                <w:caps w:val="0"/>
                <w:color w:val="000000"/>
                <w:sz w:val="26"/>
              </w:rPr>
              <w:t>a) Nếu được chấp nhận thì sẽ gây ảnh hưởng đáng kể đến phạm vi, chất lượng hay hiệu quả sử dụng của dịch vụ được quy định trong hợp đồng; gây hạn chế đáng kể và không thống nhất với E-HSMT đối với quyền hạn của Chủ đầu tư hoặc nghĩa vụ của nhà thầu trong hợp đồng;</w:t>
            </w:r>
          </w:p>
          <w:p>
            <w:pPr>
              <w:spacing w:before="0" w:after="60"/>
              <w:jc w:val="left"/>
            </w:pPr>
            <w:r>
              <w:rPr>
                <w:rFonts w:ascii="Times New Roman" w:hAnsi="Times New Roman" w:eastAsia="Times New Roman" w:cs="Times New Roman"/>
                <w:b w:val="0"/>
                <w:i w:val="0"/>
                <w:caps w:val="0"/>
                <w:color w:val="000000"/>
                <w:sz w:val="26"/>
              </w:rPr>
              <w:t>b) Nếu được sửa lại thì sẽ gây ảnh hưởng không công bằng đến vị thế cạnh tranh của nhà thầu khác có E-HSDT đáp ứng cơ bản yêu cầu nêu trong E-HSMT .</w:t>
            </w:r>
          </w:p>
          <w:p>
            <w:pPr>
              <w:spacing w:before="0" w:after="60"/>
              <w:jc w:val="left"/>
            </w:pPr>
            <w:r>
              <w:rPr>
                <w:rFonts w:ascii="Times New Roman" w:hAnsi="Times New Roman" w:eastAsia="Times New Roman" w:cs="Times New Roman"/>
                <w:b w:val="0"/>
                <w:i w:val="0"/>
                <w:caps w:val="0"/>
                <w:color w:val="000000"/>
                <w:sz w:val="26"/>
              </w:rPr>
              <w:t>25.3. Tổ chuyên gia phải kiểm tra các khía cạnh kỹ thuật của E-HSDT theo quy định tại Mục 15 E-CDNT nhằm khẳng định rằng tất cả các yêu cầu nêu trong Phần 2 - Yêu cầu về kỹ thuật đã được đáp ứng và E-HSDT không có những sai khác, đặt điều kiện hoặc bỏ sót các nội dung cơ bản.</w:t>
            </w:r>
          </w:p>
          <w:p>
            <w:pPr>
              <w:spacing w:before="0" w:after="60"/>
              <w:jc w:val="left"/>
            </w:pPr>
            <w:r>
              <w:rPr>
                <w:rFonts w:ascii="Times New Roman" w:hAnsi="Times New Roman" w:eastAsia="Times New Roman" w:cs="Times New Roman"/>
                <w:b w:val="0"/>
                <w:i w:val="0"/>
                <w:caps w:val="0"/>
                <w:color w:val="000000"/>
                <w:sz w:val="26"/>
              </w:rPr>
              <w:t>25.4. Nếu E-HSDT không đáp ứng cơ bản các yêu cầu nêu trong E-HSMT thì E-HSDT đó sẽ bị loại; không được phép sửa đổi các sai khác, đặt điều kiện hoặc bỏ sót nội dung cơ bản trong E-HSDT nhằm làm cho E-HSDT đó đáp ứng cơ bản E-HSMT.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26. Sai sót không nghiêm trọng</w:t>
            </w:r>
          </w:p>
        </w:tc>
        <w:tc>
          <w:tcPr>
            <w:tcW w:type="dxa" w:w="7300"/>
          </w:tcPr>
          <w:p>
            <w:pPr>
              <w:spacing w:before="0" w:after="60"/>
              <w:jc w:val="left"/>
            </w:pPr>
            <w:r>
              <w:rPr>
                <w:rFonts w:ascii="Times New Roman" w:hAnsi="Times New Roman" w:eastAsia="Times New Roman" w:cs="Times New Roman"/>
                <w:b w:val="0"/>
                <w:i w:val="0"/>
                <w:caps w:val="0"/>
                <w:color w:val="000000"/>
                <w:sz w:val="26"/>
              </w:rPr>
              <w:t>26.1. Với điều kiện E-HSDT đáp ứng cơ bản yêu cầu nêu trong E-HSMT thì Chủ đầu tư, tổ chuyên gia có thể chấp nhận các sai sót mà không phải là những sai khác, đặt điều kiện hay bỏ sót nội dung cơ bản trong E-HSDT.</w:t>
            </w:r>
          </w:p>
          <w:p>
            <w:pPr>
              <w:spacing w:before="0" w:after="60"/>
              <w:jc w:val="left"/>
            </w:pPr>
            <w:r>
              <w:rPr>
                <w:rFonts w:ascii="Times New Roman" w:hAnsi="Times New Roman" w:eastAsia="Times New Roman" w:cs="Times New Roman"/>
                <w:b w:val="0"/>
                <w:i w:val="0"/>
                <w:caps w:val="0"/>
                <w:color w:val="000000"/>
                <w:sz w:val="26"/>
              </w:rPr>
              <w:t>26.2. Với điều kiện E-HSDT đáp ứng cơ bản yêu cầu nêu trong E-HSMT, Chủ đầu tư, tổ chuyên gia có thể yêu cầu nhà thầu cung cấp các thông tin hoặc tài liệu cần thiết trong thời hạn hợp lý để sửa chữa những điểm chưa phù hợp hoặc sai sót không nghiêm trọng trong E-HSDT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Chủ đầu tư.</w:t>
            </w:r>
          </w:p>
          <w:p>
            <w:pPr>
              <w:spacing w:before="0" w:after="60"/>
              <w:jc w:val="left"/>
            </w:pPr>
            <w:r>
              <w:rPr>
                <w:rFonts w:ascii="Times New Roman" w:hAnsi="Times New Roman" w:eastAsia="Times New Roman" w:cs="Times New Roman"/>
                <w:b w:val="0"/>
                <w:i w:val="0"/>
                <w:caps w:val="0"/>
                <w:color w:val="000000"/>
                <w:sz w:val="26"/>
              </w:rPr>
              <w:t>26.3. Với điều kiện E-HSDT đáp ứng cơ bản yêu cầu nêu trong E-HSMT, Chủ đầu tư,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27. Nhà thầu phụ</w:t>
            </w:r>
          </w:p>
        </w:tc>
        <w:tc>
          <w:tcPr>
            <w:tcW w:type="dxa" w:w="7300"/>
          </w:tcPr>
          <w:p>
            <w:pPr>
              <w:spacing w:before="0" w:after="60"/>
              <w:jc w:val="left"/>
            </w:pPr>
            <w:r>
              <w:rPr>
                <w:rFonts w:ascii="Times New Roman" w:hAnsi="Times New Roman" w:eastAsia="Times New Roman" w:cs="Times New Roman"/>
                <w:b w:val="0"/>
                <w:i w:val="0"/>
                <w:caps w:val="0"/>
                <w:color w:val="000000"/>
                <w:sz w:val="26"/>
              </w:rPr>
              <w:t>27.1. Nhà thầu phụ là tổ chức, cá nhân ký kết hợp đồng với nhà thầu để thực hiện một phần công việc trong bảng tổng hợp giá dự thầu; không bao gồm tổ chức, cá nhân cung cấp, nguyên liệu, nhiên liệu, vật liệu, vật tư, cấu kiện bán thành phẩm, thiết bị, cho thuê thiết bị thi công. Việc nhà thầu thuê nhân công để thực hiện gói thầu không phải là sử dụng nhà thầu phụ. Nhà thầu phải kê khai Nhà thầu phụ và các hạng mục công việc dành cho Nhà thầu phụ theo Mẫu số 09A Chương IV. Trường hợp tại thời điểm tham dự thầu, chưa xác định được Nhà thầu phụ thì phải kê khai các hạng mục công việc dự kiến dành cho Nhà thầu phụ.</w:t>
            </w:r>
          </w:p>
          <w:p>
            <w:pPr>
              <w:spacing w:before="0" w:after="60"/>
              <w:jc w:val="left"/>
            </w:pPr>
            <w:r>
              <w:rPr>
                <w:rFonts w:ascii="Times New Roman" w:hAnsi="Times New Roman" w:eastAsia="Times New Roman" w:cs="Times New Roman"/>
                <w:b w:val="0"/>
                <w:i w:val="0"/>
                <w:caps w:val="0"/>
                <w:color w:val="000000"/>
                <w:sz w:val="26"/>
              </w:rPr>
              <w:t>27.2. Nhà thầu chỉ được sử dụng nhà thầu phụ thực hiện các công việc với tổng giá trị dành cho nhà thầu phụ không vượt quá tỷ lệ phần trăm (%) trên giá dự thầu của nhà thầu theo quy định tại E-BDL. Đối với trường hợp liên danh, từng thành viên liên danh chỉ được sử dụng nhà thầu phụ không vượt quá tỷ lệ phần trăm quy định tại Mục này trên giá trị phần công việc mà thành viên liên danh đó đảm nhận trong thoả thuận liên danh.</w:t>
            </w:r>
          </w:p>
          <w:p>
            <w:pPr>
              <w:spacing w:before="0" w:after="60"/>
              <w:jc w:val="left"/>
            </w:pPr>
            <w:r>
              <w:rPr>
                <w:rFonts w:ascii="Times New Roman" w:hAnsi="Times New Roman" w:eastAsia="Times New Roman" w:cs="Times New Roman"/>
                <w:b w:val="0"/>
                <w:i w:val="0"/>
                <w:caps w:val="0"/>
                <w:color w:val="000000"/>
                <w:sz w:val="26"/>
              </w:rPr>
              <w:t>27.3. Việc sử dụng nhà thầu phụ sẽ không làm thay đổi các trách nhiệm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E-HSDT của nhà thầu. Bản thân nhà thầu phải đáp ứng các tiêu chí năng lực và kinh nghiệm (không xét đến năng lực và kinh nghiệm của nhà thầu phụ).</w:t>
            </w:r>
          </w:p>
          <w:p>
            <w:pPr>
              <w:spacing w:before="0" w:after="60"/>
              <w:jc w:val="left"/>
            </w:pPr>
            <w:r>
              <w:rPr>
                <w:rFonts w:ascii="Times New Roman" w:hAnsi="Times New Roman" w:eastAsia="Times New Roman" w:cs="Times New Roman"/>
                <w:b w:val="0"/>
                <w:i w:val="0"/>
                <w:caps w:val="0"/>
                <w:color w:val="000000"/>
                <w:sz w:val="26"/>
              </w:rPr>
              <w:t>27.4. Nhà thầu được ký kết hợp đồng với các nhà thầu phụ trong danh sách các nhà thầu phụ nêu trong E-HSDT hoặc ký với nhà thầu phụ được Chủ đầu tư chấp thuận để tham gia thực hiện công việc của gói thầu.</w:t>
            </w:r>
          </w:p>
          <w:p>
            <w:pPr>
              <w:spacing w:before="0" w:after="60"/>
              <w:jc w:val="left"/>
            </w:pPr>
            <w:r>
              <w:rPr>
                <w:rFonts w:ascii="Times New Roman" w:hAnsi="Times New Roman" w:eastAsia="Times New Roman" w:cs="Times New Roman"/>
                <w:b w:val="0"/>
                <w:i w:val="0"/>
                <w:caps w:val="0"/>
                <w:color w:val="000000"/>
                <w:sz w:val="26"/>
              </w:rPr>
              <w:t>27.5. Nhà thầu có hành vi chuyển nhượng thầu theo quy định tại khoản 8 Điều 16 của Luật Đấu thầu thì bị xử lý theo quy định tại điểm b khoản 1 Điều 133 của Nghị định số 214/2025/NĐ-CP.</w:t>
            </w:r>
          </w:p>
          <w:p>
            <w:pPr>
              <w:spacing w:before="0" w:after="60"/>
              <w:jc w:val="left"/>
            </w:pPr>
            <w:r>
              <w:rPr>
                <w:rFonts w:ascii="Times New Roman" w:hAnsi="Times New Roman" w:eastAsia="Times New Roman" w:cs="Times New Roman"/>
                <w:b w:val="0"/>
                <w:i w:val="0"/>
                <w:caps w:val="0"/>
                <w:color w:val="000000"/>
                <w:sz w:val="26"/>
              </w:rPr>
              <w:t>27.6. Nhà thầu không được sử dụng nhà thầu phụ mà nhà thầu phụ này có tham gia thực hiện cung cấp dịch vụ tư vấn cho gói thầu mà nhà thầu đã trúng thầu và các công việc tư vấn này bao gồm: lập, thẩm tra thiết kế FEED, thiết kế kỹ thuật, thiết kế bản vẽ thi công, dự toán; thẩm tra thiết kế kỹ thuật, thiết kế bản vẽ thi công, dự toán; thẩm định giá; giám sát thực hiện hợp đồng, kiểm định; lập, thẩm định E-HSMST, E-HSMT; đánh giá E-HSDST, E-HSDT; thẩm định kết quả sơ tuyển (nếu có), kết quả lựa chọn nhà thầu; tư vấn quản lý dự án, quản lý hợp đồng, tư vấn khác mà các dịch vụ tư vấn này có phần công việc liên quan trực tiếp tới gói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28. Ưu đãi trong lựa chọn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28.1 Nguyên tắc ưu đãi:</w:t>
            </w:r>
          </w:p>
          <w:p>
            <w:pPr>
              <w:spacing w:before="0" w:after="60"/>
              <w:jc w:val="left"/>
            </w:pPr>
            <w:r>
              <w:rPr>
                <w:rFonts w:ascii="Times New Roman" w:hAnsi="Times New Roman" w:eastAsia="Times New Roman" w:cs="Times New Roman"/>
                <w:b w:val="0"/>
                <w:i w:val="0"/>
                <w:caps w:val="0"/>
                <w:color w:val="000000"/>
                <w:sz w:val="26"/>
              </w:rPr>
              <w:t>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p>
          <w:p>
            <w:pPr>
              <w:spacing w:before="0" w:after="60"/>
              <w:jc w:val="left"/>
            </w:pPr>
            <w:r>
              <w:rPr>
                <w:rFonts w:ascii="Times New Roman" w:hAnsi="Times New Roman" w:eastAsia="Times New Roman" w:cs="Times New Roman"/>
                <w:b w:val="0"/>
                <w:i w:val="0"/>
                <w:caps w:val="0"/>
                <w:color w:val="000000"/>
                <w:sz w:val="26"/>
              </w:rPr>
              <w:t>b) Trường hợp tất cả các nhà thầu tham dự thầu đều được hưởng ưu đãi như nhau hoặc tất cả các nhà thầu đều không thuộc đối tượng được hưởng ưu đãi thì không cần tính ưu đãi để so sánh, xếp hạng.</w:t>
            </w:r>
          </w:p>
          <w:p>
            <w:pPr>
              <w:spacing w:before="0" w:after="60"/>
              <w:jc w:val="left"/>
            </w:pPr>
            <w:r>
              <w:rPr>
                <w:rFonts w:ascii="Times New Roman" w:hAnsi="Times New Roman" w:eastAsia="Times New Roman" w:cs="Times New Roman"/>
                <w:b w:val="0"/>
                <w:i w:val="0"/>
                <w:caps w:val="0"/>
                <w:color w:val="000000"/>
                <w:sz w:val="26"/>
              </w:rPr>
              <w:t>c) Nhà thầu phải chứng minh nhà thầu, dịch vụ do nhà thầu chào thuộc đối tượng được hưởng ưu đãi theo quy định tại khoản 1 Điều 10 của Luật Đấu thầu.</w:t>
            </w:r>
          </w:p>
          <w:p>
            <w:pPr>
              <w:spacing w:before="0" w:after="60"/>
              <w:jc w:val="left"/>
            </w:pPr>
            <w:r>
              <w:rPr>
                <w:rFonts w:ascii="Times New Roman" w:hAnsi="Times New Roman" w:eastAsia="Times New Roman" w:cs="Times New Roman"/>
                <w:b w:val="0"/>
                <w:i w:val="0"/>
                <w:caps w:val="0"/>
                <w:color w:val="000000"/>
                <w:sz w:val="26"/>
              </w:rPr>
              <w:t>28.2. Sản phẩm đổi mới sáng tạo quy định tại khoản 4 Điều 6 của Nghị định số 214/2025/NĐ-CP là dịch vụ phi tư vấn của doanh nghiệp khởi nghiệp sáng tạo trong nước được hưởng ưu đãi theo quy định tại E-BDL.</w:t>
            </w:r>
          </w:p>
          <w:p>
            <w:pPr>
              <w:spacing w:before="0" w:after="60"/>
              <w:jc w:val="left"/>
            </w:pPr>
            <w:r>
              <w:rPr>
                <w:rFonts w:ascii="Times New Roman" w:hAnsi="Times New Roman" w:eastAsia="Times New Roman" w:cs="Times New Roman"/>
                <w:b w:val="0"/>
                <w:i w:val="0"/>
                <w:caps w:val="0"/>
                <w:color w:val="000000"/>
                <w:sz w:val="26"/>
              </w:rPr>
              <w:t>28.3. Trường hợp sau khi đánh giá, có nhiều nhà thầu được đánh giá tốt nhất, ngang nhau thì xử lý theo thứ tự ưu tiên như sau cho đến khi lựa chọn được nhà thầu trúng thầu:</w:t>
            </w:r>
          </w:p>
          <w:p>
            <w:pPr>
              <w:spacing w:before="0" w:after="60"/>
              <w:jc w:val="left"/>
            </w:pPr>
            <w:r>
              <w:rPr>
                <w:rFonts w:ascii="Times New Roman" w:hAnsi="Times New Roman" w:eastAsia="Times New Roman" w:cs="Times New Roman"/>
                <w:b w:val="0"/>
                <w:i w:val="0"/>
                <w:caps w:val="0"/>
                <w:color w:val="000000"/>
                <w:sz w:val="26"/>
              </w:rPr>
              <w:t>a) Trao thầu cho doanh nghiệp nhỏ và vừa do phụ nữ làm chủ theo quy định của pháp luật về hỗ trợ doanh nghiệp nhỏ và vừa (nếu có);</w:t>
            </w:r>
          </w:p>
          <w:p>
            <w:pPr>
              <w:spacing w:before="0" w:after="60"/>
              <w:jc w:val="left"/>
            </w:pPr>
            <w:r>
              <w:rPr>
                <w:rFonts w:ascii="Times New Roman" w:hAnsi="Times New Roman" w:eastAsia="Times New Roman" w:cs="Times New Roman"/>
                <w:b w:val="0"/>
                <w:i w:val="0"/>
                <w:caps w:val="0"/>
                <w:color w:val="000000"/>
                <w:sz w:val="26"/>
              </w:rPr>
              <w:t>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trừ đi giá trị giảm giá (nếu có) thấp hơn đối với gói thầu áp dụng phương pháp giá đánh giá.</w:t>
            </w:r>
          </w:p>
          <w:p>
            <w:pPr>
              <w:spacing w:before="0" w:after="60"/>
              <w:jc w:val="left"/>
            </w:pPr>
            <w:r>
              <w:rPr>
                <w:rFonts w:ascii="Times New Roman" w:hAnsi="Times New Roman" w:eastAsia="Times New Roman" w:cs="Times New Roman"/>
                <w:b w:val="0"/>
                <w:i w:val="0"/>
                <w:caps w:val="0"/>
                <w:color w:val="000000"/>
                <w:sz w:val="26"/>
              </w:rPr>
              <w:t>c) Trao thầu cho nhà thầu có trụ sở chính ở địa phương nơi triển khai gói thầu;</w:t>
            </w:r>
          </w:p>
          <w:p>
            <w:pPr>
              <w:spacing w:before="0" w:after="60"/>
              <w:jc w:val="left"/>
            </w:pPr>
            <w:r>
              <w:rPr>
                <w:rFonts w:ascii="Times New Roman" w:hAnsi="Times New Roman" w:eastAsia="Times New Roman" w:cs="Times New Roman"/>
                <w:b w:val="0"/>
                <w:i w:val="0"/>
                <w:caps w:val="0"/>
                <w:color w:val="000000"/>
                <w:sz w:val="26"/>
              </w:rPr>
              <w:t>d) Trao thầu cho nhà thầu có sử dụng số lượng lao động là thương binh, người khuyết tật có hợp đồng lao động với thời gian thực hiện hợp đồng từ 03 tháng trở lên, đến thời điểm đóng thầu vẫn còn hiệu lực nhiều hơn;</w:t>
            </w:r>
          </w:p>
          <w:p>
            <w:pPr>
              <w:spacing w:before="0" w:after="60"/>
              <w:jc w:val="left"/>
            </w:pPr>
            <w:r>
              <w:rPr>
                <w:rFonts w:ascii="Times New Roman" w:hAnsi="Times New Roman" w:eastAsia="Times New Roman" w:cs="Times New Roman"/>
                <w:b w:val="0"/>
                <w:i w:val="0"/>
                <w:caps w:val="0"/>
                <w:color w:val="000000"/>
                <w:sz w:val="26"/>
              </w:rPr>
              <w:t>đ) Trao thầu cho nhà thầu có sử dụng số lượng lao động là dân tộc thiểu số có hợp đồng lao động với thời gian thực hiện hợp đồng từ 03 tháng trở lên, đến thời điểm đóng thầu vẫn còn hiệu lực nhiều hơn ;</w:t>
            </w:r>
          </w:p>
          <w:p>
            <w:pPr>
              <w:spacing w:before="0" w:after="60"/>
              <w:jc w:val="left"/>
            </w:pPr>
            <w:r>
              <w:rPr>
                <w:rFonts w:ascii="Times New Roman" w:hAnsi="Times New Roman" w:eastAsia="Times New Roman" w:cs="Times New Roman"/>
                <w:b w:val="0"/>
                <w:i w:val="0"/>
                <w:caps w:val="0"/>
                <w:color w:val="000000"/>
                <w:sz w:val="26"/>
              </w:rPr>
              <w:t>e) Trao thầu cho nhà thầu có sử dụng số lượng lao động là nữ giới có hợp đồng lao động với thời gian thực hiện hợp đồng từ 03 tháng trở lên, đến thời điểm đóng thầu vẫn còn hiệu lực nhiều hơn ;</w:t>
            </w:r>
          </w:p>
          <w:p>
            <w:pPr>
              <w:spacing w:before="0" w:after="60"/>
              <w:jc w:val="left"/>
            </w:pPr>
            <w:r>
              <w:rPr>
                <w:rFonts w:ascii="Times New Roman" w:hAnsi="Times New Roman" w:eastAsia="Times New Roman" w:cs="Times New Roman"/>
                <w:b w:val="0"/>
                <w:i w:val="0"/>
                <w:caps w:val="0"/>
                <w:color w:val="000000"/>
                <w:sz w:val="26"/>
              </w:rPr>
              <w:t>g) Cho phép các nhà thầu này chào lại giá dự thầu để lựa chọn nhà thầu có giá chào thấp nhất. Nhà thầu không được chào giá cao hơn giá nhà thầu đã chào trừ đi giá trị giảm giá (nếu có). Việc chào lại giá dự thầu thực hiện theo quy định tại điểm a khoản 8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h) Mời các nhà thầu này tham gia chào giá trực tuyến theo quy trình rút gọn. Nhà thầu không được chào giá cao hơn giá nhà thầu đã chào trừ đi giá trị giảm giá (nếu có).</w:t>
            </w:r>
          </w:p>
          <w:p>
            <w:pPr>
              <w:spacing w:before="0" w:after="60"/>
              <w:jc w:val="left"/>
            </w:pPr>
            <w:r>
              <w:rPr>
                <w:rFonts w:ascii="Times New Roman" w:hAnsi="Times New Roman" w:eastAsia="Times New Roman" w:cs="Times New Roman"/>
                <w:b w:val="0"/>
                <w:i w:val="0"/>
                <w:caps w:val="0"/>
                <w:color w:val="000000"/>
                <w:sz w:val="26"/>
              </w:rPr>
              <w:t>28.4. Trường hợp thuộc đối tượng ưu đãi nêu tại Mục 28.2 và Mục 28.3 E-CDNT, nhà thầu phải đính kèm tài liệu chứng minh trong E-HSDT.</w:t>
            </w:r>
          </w:p>
          <w:p>
            <w:pPr>
              <w:spacing w:before="0" w:after="60"/>
              <w:jc w:val="left"/>
            </w:pPr>
            <w:r>
              <w:rPr>
                <w:rFonts w:ascii="Times New Roman" w:hAnsi="Times New Roman" w:eastAsia="Times New Roman" w:cs="Times New Roman"/>
                <w:b w:val="0"/>
                <w:i w:val="0"/>
                <w:caps w:val="0"/>
                <w:color w:val="000000"/>
                <w:sz w:val="26"/>
              </w:rPr>
              <w:t>28.5. Nhà thầu phải kê khai về dịch vụ được hưởng ưu đãi theo Mẫu số 12 Chương IV để làm cơ sở xem xét, đánh giá ưu đãi. Trường hợp nhà thầu không kê khai thì dịch vụ của nhà thầu được coi là không thuộc đối tượng được hưởng ưu đãi.</w:t>
            </w:r>
          </w:p>
          <w:p>
            <w:pPr>
              <w:spacing w:before="0" w:after="60"/>
              <w:jc w:val="left"/>
            </w:pPr>
            <w:r>
              <w:rPr>
                <w:rFonts w:ascii="Times New Roman" w:hAnsi="Times New Roman" w:eastAsia="Times New Roman" w:cs="Times New Roman"/>
                <w:b w:val="0"/>
                <w:i w:val="0"/>
                <w:caps w:val="0"/>
                <w:color w:val="000000"/>
                <w:sz w:val="26"/>
              </w:rPr>
              <w:t>28.6. Trường hợp dịch vụ do các nhà thầu chào đều không thuộc đối tượng được hưởng ưu đãi thì không tiến hành đánh giá và xác định giá trị ưu đãi.</w:t>
            </w:r>
          </w:p>
          <w:p>
            <w:pPr>
              <w:spacing w:before="0" w:after="60"/>
              <w:jc w:val="left"/>
            </w:pPr>
            <w:r>
              <w:rPr>
                <w:rFonts w:ascii="Times New Roman" w:hAnsi="Times New Roman" w:eastAsia="Times New Roman" w:cs="Times New Roman"/>
                <w:b w:val="0"/>
                <w:i w:val="0"/>
                <w:caps w:val="0"/>
                <w:color w:val="000000"/>
                <w:sz w:val="26"/>
              </w:rPr>
              <w:t>28.7. Nhà thầu trong nước thuộc trường hợp quy định tại điểm g khoản 1 Điều 10 của Luật Đấu thầu khi chào thầu dịch vụ do nhà thầu cung cấp không phải đáp ứng điều kiện về bảo đảm cạnh tranh trong nội dung đánh giá về tư cách hợp lệ và yêu cầu về năng lực, kinh nghiệm trong thời hạn 05 năm kể từ khi được cơ quan có thẩm quyền công nhận. Nhà thầu phải đính kèm tài liệu để chứng minh dịch vụ do nhà thầu chào thuộc đối tượng được hưởng ưu đãi.</w:t>
            </w:r>
          </w:p>
          <w:p>
            <w:pPr>
              <w:spacing w:before="0" w:after="60"/>
              <w:jc w:val="left"/>
            </w:pPr>
            <w:r>
              <w:rPr>
                <w:rFonts w:ascii="Times New Roman" w:hAnsi="Times New Roman" w:eastAsia="Times New Roman" w:cs="Times New Roman"/>
                <w:b w:val="0"/>
                <w:i w:val="0"/>
                <w:caps w:val="0"/>
                <w:color w:val="000000"/>
                <w:sz w:val="26"/>
              </w:rPr>
              <w:t>28.8. Các ưu đãi khác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29. Đánh giá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29.1. Tổ chuyên gia áp dụng phương pháp đánh giá theo quy định tại E-BDL để đánh giá E-HSDT.</w:t>
            </w:r>
          </w:p>
          <w:p>
            <w:pPr>
              <w:spacing w:before="0" w:after="60"/>
              <w:jc w:val="left"/>
            </w:pPr>
            <w:r>
              <w:rPr>
                <w:rFonts w:ascii="Times New Roman" w:hAnsi="Times New Roman" w:eastAsia="Times New Roman" w:cs="Times New Roman"/>
                <w:b w:val="0"/>
                <w:i w:val="0"/>
                <w:caps w:val="0"/>
                <w:color w:val="000000"/>
                <w:sz w:val="26"/>
              </w:rPr>
              <w:t>29.2. Căn cứ vào E-HSDT của các nhà thầu đã nộp trên Hệ thống và phương pháp đánh giá E-HSDT tại Mục 29.1 E-CDNT, Tổ chuyên gia chọn 01 trong 02 quy trình đánh giá E-HSDT dưới đây cho phù hợp để đánh giá E-HSDT.</w:t>
            </w:r>
          </w:p>
          <w:p>
            <w:pPr>
              <w:spacing w:before="0" w:after="60"/>
              <w:jc w:val="left"/>
            </w:pPr>
            <w:r>
              <w:rPr>
                <w:rFonts w:ascii="Times New Roman" w:hAnsi="Times New Roman" w:eastAsia="Times New Roman" w:cs="Times New Roman"/>
                <w:b w:val="0"/>
                <w:i w:val="0"/>
                <w:caps w:val="0"/>
                <w:color w:val="000000"/>
                <w:sz w:val="26"/>
              </w:rPr>
              <w:t>29.3. Quy trình 1 (áp dụng đối với phương pháp “Giá đánh giá” và “Giá thấp nhất”):</w:t>
            </w:r>
          </w:p>
          <w:p>
            <w:pPr>
              <w:spacing w:before="0" w:after="60"/>
              <w:jc w:val="left"/>
            </w:pPr>
            <w:r>
              <w:rPr>
                <w:rFonts w:ascii="Times New Roman" w:hAnsi="Times New Roman" w:eastAsia="Times New Roman" w:cs="Times New Roman"/>
                <w:b w:val="0"/>
                <w:i w:val="0"/>
                <w:caps w:val="0"/>
                <w:color w:val="000000"/>
                <w:sz w:val="26"/>
              </w:rPr>
              <w:t>a) Bước 1: Đánh giá tính hợp lệ theo quy định tại Mục 1 Chương III:</w:t>
            </w:r>
          </w:p>
          <w:p>
            <w:pPr>
              <w:spacing w:before="0" w:after="60"/>
              <w:jc w:val="left"/>
            </w:pPr>
            <w:r>
              <w:rPr>
                <w:rFonts w:ascii="Times New Roman" w:hAnsi="Times New Roman" w:eastAsia="Times New Roman" w:cs="Times New Roman"/>
                <w:b w:val="0"/>
                <w:i w:val="0"/>
                <w:caps w:val="0"/>
                <w:color w:val="000000"/>
                <w:sz w:val="26"/>
              </w:rPr>
              <w:t>- Hệ thống tự động đánh giá trên cơ sở cam kết của nhà thầu trong đơn dự thầu đối với các nội dung:</w:t>
            </w:r>
          </w:p>
          <w:p>
            <w:pPr>
              <w:spacing w:before="0" w:after="60"/>
              <w:jc w:val="left"/>
            </w:pPr>
            <w:r>
              <w:rPr>
                <w:rFonts w:ascii="Times New Roman" w:hAnsi="Times New Roman" w:eastAsia="Times New Roman" w:cs="Times New Roman"/>
                <w:b w:val="0"/>
                <w:i w:val="0"/>
                <w:caps w:val="0"/>
                <w:color w:val="000000"/>
                <w:sz w:val="26"/>
              </w:rPr>
              <w:t>+ Tư cách hợp lệ của nhà thầu;</w:t>
            </w:r>
          </w:p>
          <w:p>
            <w:pPr>
              <w:spacing w:before="0" w:after="60"/>
              <w:jc w:val="left"/>
            </w:pPr>
            <w:r>
              <w:rPr>
                <w:rFonts w:ascii="Times New Roman" w:hAnsi="Times New Roman" w:eastAsia="Times New Roman" w:cs="Times New Roman"/>
                <w:b w:val="0"/>
                <w:i w:val="0"/>
                <w:caps w:val="0"/>
                <w:color w:val="000000"/>
                <w:sz w:val="26"/>
              </w:rPr>
              <w:t>+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pPr>
              <w:spacing w:before="0" w:after="60"/>
              <w:jc w:val="left"/>
            </w:pPr>
            <w:r>
              <w:rPr>
                <w:rFonts w:ascii="Times New Roman" w:hAnsi="Times New Roman" w:eastAsia="Times New Roman" w:cs="Times New Roman"/>
                <w:b w:val="0"/>
                <w:i w:val="0"/>
                <w:caps w:val="0"/>
                <w:color w:val="000000"/>
                <w:sz w:val="26"/>
              </w:rPr>
              <w:t>Trường hợp tổ chuyên gia phát hiện nhà thầu cam kết không trung thực dẫn đến làm sai lệch kết quả lựa chọn nhà thầu thì nhà thầu sẽ bị coi là có hành vi gian lận trong đấu thầu.</w:t>
            </w:r>
          </w:p>
          <w:p>
            <w:pPr>
              <w:spacing w:before="0" w:after="60"/>
              <w:jc w:val="left"/>
            </w:pPr>
            <w:r>
              <w:rPr>
                <w:rFonts w:ascii="Times New Roman" w:hAnsi="Times New Roman" w:eastAsia="Times New Roman" w:cs="Times New Roman"/>
                <w:b w:val="0"/>
                <w:i w:val="0"/>
                <w:caps w:val="0"/>
                <w:color w:val="000000"/>
                <w:sz w:val="26"/>
              </w:rPr>
              <w:t>- Hệ thống tự động đánh giá về trạng thái bị tạm ngừng, chấm dứt tham gia Hệ thống của nhà thầu.</w:t>
            </w:r>
          </w:p>
          <w:p>
            <w:pPr>
              <w:spacing w:before="0" w:after="60"/>
              <w:jc w:val="left"/>
            </w:pPr>
            <w:r>
              <w:rPr>
                <w:rFonts w:ascii="Times New Roman" w:hAnsi="Times New Roman" w:eastAsia="Times New Roman" w:cs="Times New Roman"/>
                <w:b w:val="0"/>
                <w:i w:val="0"/>
                <w:caps w:val="0"/>
                <w:color w:val="000000"/>
                <w:sz w:val="26"/>
              </w:rPr>
              <w:t>- Tổ chuyên gia đánh giá tính hợp lệ của bảo đảm dự thầu, thỏa thuận liên danh (đối với trường hợp liên danh).</w:t>
            </w:r>
          </w:p>
          <w:p>
            <w:pPr>
              <w:spacing w:before="0" w:after="60"/>
              <w:jc w:val="left"/>
            </w:pPr>
            <w:r>
              <w:rPr>
                <w:rFonts w:ascii="Times New Roman" w:hAnsi="Times New Roman" w:eastAsia="Times New Roman" w:cs="Times New Roman"/>
                <w:b w:val="0"/>
                <w:i w:val="0"/>
                <w:caps w:val="0"/>
                <w:color w:val="000000"/>
                <w:sz w:val="26"/>
              </w:rPr>
              <w:t>- Nhà thầu được đánh giá là đạt ở tất cả nội dung về tính hợp lệ thì được chuyển sang đánh giá về năng lực, kinh nghiệm.</w:t>
            </w:r>
          </w:p>
          <w:p>
            <w:pPr>
              <w:spacing w:before="0" w:after="60"/>
              <w:jc w:val="left"/>
            </w:pPr>
            <w:r>
              <w:rPr>
                <w:rFonts w:ascii="Times New Roman" w:hAnsi="Times New Roman" w:eastAsia="Times New Roman" w:cs="Times New Roman"/>
                <w:b w:val="0"/>
                <w:i w:val="0"/>
                <w:caps w:val="0"/>
                <w:color w:val="000000"/>
                <w:sz w:val="26"/>
              </w:rPr>
              <w:t>b) Bước 2: Đánh giá về năng lực và kinh nghiệm theo quy định tại Mục 2 Chương III:</w:t>
            </w:r>
          </w:p>
          <w:p>
            <w:pPr>
              <w:spacing w:before="0" w:after="60"/>
              <w:jc w:val="left"/>
            </w:pPr>
            <w:r>
              <w:rPr>
                <w:rFonts w:ascii="Times New Roman" w:hAnsi="Times New Roman" w:eastAsia="Times New Roman" w:cs="Times New Roman"/>
                <w:b w:val="0"/>
                <w:i w:val="0"/>
                <w:caps w:val="0"/>
                <w:color w:val="000000"/>
                <w:sz w:val="26"/>
              </w:rPr>
              <w:t>- Hệ thống tự động đánh giá các nội dung: Lịch sử không hoàn thành hợp đồng, thực hiện nghĩa vụ kê khai thuế và nộp thuế, doanh thu bình quân hằng năm trên cơ sở thông tin kê khai, trích xuất trong E-HSDT. Đối với các nội dung Hệ thống tự động đánh giá, nhà thầu không phải đính kèm các tài liệu để chứng minh khi nộp E-HSDT;</w:t>
            </w:r>
          </w:p>
          <w:p>
            <w:pPr>
              <w:spacing w:before="0" w:after="60"/>
              <w:jc w:val="left"/>
            </w:pPr>
            <w:r>
              <w:rPr>
                <w:rFonts w:ascii="Times New Roman" w:hAnsi="Times New Roman" w:eastAsia="Times New Roman" w:cs="Times New Roman"/>
                <w:b w:val="0"/>
                <w:i w:val="0"/>
                <w:caps w:val="0"/>
                <w:color w:val="000000"/>
                <w:sz w:val="26"/>
              </w:rPr>
              <w:t>- Đối với nội dung đánh giá về hợp đồng tương tự, trường hợp E-HSMT có yêu cầu về kinh nghiệm thực hiện hợp đồng tương tự, tổ chuyên gia căn cứ vào thông tin nhà thầu kê khai trên webform và tài liệu đính kèm để đánh giá;</w:t>
            </w:r>
          </w:p>
          <w:p>
            <w:pPr>
              <w:spacing w:before="0" w:after="60"/>
              <w:jc w:val="left"/>
            </w:pPr>
            <w:r>
              <w:rPr>
                <w:rFonts w:ascii="Times New Roman" w:hAnsi="Times New Roman" w:eastAsia="Times New Roman" w:cs="Times New Roman"/>
                <w:b w:val="0"/>
                <w:i w:val="0"/>
                <w:caps w:val="0"/>
                <w:color w:val="000000"/>
                <w:sz w:val="26"/>
              </w:rPr>
              <w:t>- Đối với các nội dung về nhân sự chủ chốt, thiết bị chủ yếu (nếu có), tổ chuyên gia đánh giá trên cơ sở thông tin kê khai của nhà thầu;</w:t>
            </w:r>
          </w:p>
          <w:p>
            <w:pPr>
              <w:spacing w:before="0" w:after="60"/>
              <w:jc w:val="left"/>
            </w:pPr>
            <w:r>
              <w:rPr>
                <w:rFonts w:ascii="Times New Roman" w:hAnsi="Times New Roman" w:eastAsia="Times New Roman" w:cs="Times New Roman"/>
                <w:b w:val="0"/>
                <w:i w:val="0"/>
                <w:caps w:val="0"/>
                <w:color w:val="000000"/>
                <w:sz w:val="26"/>
              </w:rPr>
              <w:t>- Nhà thầu được đánh giá là đạt ở các nội dung về năng lực, kinh nghiệm thì được chuyển sang đánh giá về kỹ thuật.</w:t>
            </w:r>
          </w:p>
          <w:p>
            <w:pPr>
              <w:spacing w:before="0" w:after="60"/>
              <w:jc w:val="left"/>
            </w:pPr>
            <w:r>
              <w:rPr>
                <w:rFonts w:ascii="Times New Roman" w:hAnsi="Times New Roman" w:eastAsia="Times New Roman" w:cs="Times New Roman"/>
                <w:b w:val="0"/>
                <w:i w:val="0"/>
                <w:caps w:val="0"/>
                <w:color w:val="000000"/>
                <w:sz w:val="26"/>
              </w:rPr>
              <w:t>c) Bước 3: Đánh giá về kỹ thuật theo quy định tại Mục 3 Chương III. Nhà thầu được đánh giá là đạt về kỹ thuật thì được chuyển sang đánh giá về tài chính.</w:t>
            </w:r>
          </w:p>
          <w:p>
            <w:pPr>
              <w:spacing w:before="0" w:after="60"/>
              <w:jc w:val="left"/>
            </w:pPr>
            <w:r>
              <w:rPr>
                <w:rFonts w:ascii="Times New Roman" w:hAnsi="Times New Roman" w:eastAsia="Times New Roman" w:cs="Times New Roman"/>
                <w:b w:val="0"/>
                <w:i w:val="0"/>
                <w:caps w:val="0"/>
                <w:color w:val="000000"/>
                <w:sz w:val="26"/>
              </w:rPr>
              <w:t>d) Bước 4: Đánh giá về tài chính theo quy định tại Mục 4 Chương III.</w:t>
            </w:r>
          </w:p>
          <w:p>
            <w:pPr>
              <w:spacing w:before="0" w:after="60"/>
              <w:jc w:val="left"/>
            </w:pPr>
            <w:r>
              <w:rPr>
                <w:rFonts w:ascii="Times New Roman" w:hAnsi="Times New Roman" w:eastAsia="Times New Roman" w:cs="Times New Roman"/>
                <w:b w:val="0"/>
                <w:i w:val="0"/>
                <w:caps w:val="0"/>
                <w:color w:val="000000"/>
                <w:sz w:val="26"/>
              </w:rPr>
              <w:t>đ) Bước 5: Sau khi đánh giá về tài chính, việc xếp hạng nhà thầu thực hiện theo quy định tại E-BDL. Trường hợp chỉ có một nhà thầu vượt qua bước đánh giá về tài chính thì không cần phải xếp hạng nhà thầu.</w:t>
            </w:r>
          </w:p>
          <w:p>
            <w:pPr>
              <w:spacing w:before="0" w:after="60"/>
              <w:jc w:val="left"/>
            </w:pPr>
            <w:r>
              <w:rPr>
                <w:rFonts w:ascii="Times New Roman" w:hAnsi="Times New Roman" w:eastAsia="Times New Roman" w:cs="Times New Roman"/>
                <w:b w:val="0"/>
                <w:i w:val="0"/>
                <w:caps w:val="0"/>
                <w:color w:val="000000"/>
                <w:sz w:val="26"/>
              </w:rPr>
              <w:t>e) Nhà thầu xếp hạng thứ nhất được mời vào đối chiếu tài liệu theo quy định tại Mục 30 E-CDNT.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w:t>
            </w:r>
          </w:p>
          <w:p>
            <w:pPr>
              <w:spacing w:before="0" w:after="60"/>
              <w:jc w:val="left"/>
            </w:pPr>
            <w:r>
              <w:rPr>
                <w:rFonts w:ascii="Times New Roman" w:hAnsi="Times New Roman" w:eastAsia="Times New Roman" w:cs="Times New Roman"/>
                <w:b w:val="0"/>
                <w:i w:val="0"/>
                <w:caps w:val="0"/>
                <w:color w:val="000000"/>
                <w:sz w:val="26"/>
              </w:rPr>
              <w:t>29.4. Quy trình 2 (chỉ áp dụng đối với phương pháp “giá thấp nhất”, các nhà thầu, E-HSDT đều không có bất kỳ ưu đãi nào và không có từ 02 nhà thầu trở lên cùng xếp thứ nhất):</w:t>
            </w:r>
          </w:p>
          <w:p>
            <w:pPr>
              <w:spacing w:before="0" w:after="60"/>
              <w:jc w:val="left"/>
            </w:pPr>
            <w:r>
              <w:rPr>
                <w:rFonts w:ascii="Times New Roman" w:hAnsi="Times New Roman" w:eastAsia="Times New Roman" w:cs="Times New Roman"/>
                <w:b w:val="0"/>
                <w:i w:val="0"/>
                <w:caps w:val="0"/>
                <w:color w:val="000000"/>
                <w:sz w:val="26"/>
              </w:rPr>
              <w:t>a) Bước 1: Xếp hạng nhà thầu căn cứ vào giá dự thầu theo biên bản mở thầu trên Hệ thống, nhà thầu có giá dự thầu, trừ đi giá trị giảm giá (nếu có) thấp nhất được xếp hạng thứ nhất. Tổ chuyên gia tiến hành đánh giá E-HSDT của nhà thầu có giá dự thầu thấp nhất. .</w:t>
            </w:r>
          </w:p>
          <w:p>
            <w:pPr>
              <w:spacing w:before="0" w:after="60"/>
              <w:jc w:val="left"/>
            </w:pPr>
            <w:r>
              <w:rPr>
                <w:rFonts w:ascii="Times New Roman" w:hAnsi="Times New Roman" w:eastAsia="Times New Roman" w:cs="Times New Roman"/>
                <w:b w:val="0"/>
                <w:i w:val="0"/>
                <w:caps w:val="0"/>
                <w:color w:val="000000"/>
                <w:sz w:val="26"/>
              </w:rPr>
              <w:t>b) Bước 2: Đánh giá tính hợp lệ theo quy định tại điểm a Mục 29.3 E-CDNT.</w:t>
            </w:r>
          </w:p>
          <w:p>
            <w:pPr>
              <w:spacing w:before="0" w:after="60"/>
              <w:jc w:val="left"/>
            </w:pPr>
            <w:r>
              <w:rPr>
                <w:rFonts w:ascii="Times New Roman" w:hAnsi="Times New Roman" w:eastAsia="Times New Roman" w:cs="Times New Roman"/>
                <w:b w:val="0"/>
                <w:i w:val="0"/>
                <w:caps w:val="0"/>
                <w:color w:val="000000"/>
                <w:sz w:val="26"/>
              </w:rPr>
              <w:t>c) Bước 3: Đánh giá về năng lực và kinh nghiệm theo quy định tại điểm b Mục 29.3 E-CDNT.</w:t>
            </w:r>
          </w:p>
          <w:p>
            <w:pPr>
              <w:spacing w:before="0" w:after="60"/>
              <w:jc w:val="left"/>
            </w:pPr>
            <w:r>
              <w:rPr>
                <w:rFonts w:ascii="Times New Roman" w:hAnsi="Times New Roman" w:eastAsia="Times New Roman" w:cs="Times New Roman"/>
                <w:b w:val="0"/>
                <w:i w:val="0"/>
                <w:caps w:val="0"/>
                <w:color w:val="000000"/>
                <w:sz w:val="26"/>
              </w:rPr>
              <w:t>d) Bước 4: Đánh giá về kỹ thuật theo quy định tại điểm c Mục 29.3 E-CDNT.</w:t>
            </w:r>
          </w:p>
          <w:p>
            <w:pPr>
              <w:spacing w:before="0" w:after="60"/>
              <w:jc w:val="left"/>
            </w:pPr>
            <w:r>
              <w:rPr>
                <w:rFonts w:ascii="Times New Roman" w:hAnsi="Times New Roman" w:eastAsia="Times New Roman" w:cs="Times New Roman"/>
                <w:b w:val="0"/>
                <w:i w:val="0"/>
                <w:caps w:val="0"/>
                <w:color w:val="000000"/>
                <w:sz w:val="26"/>
              </w:rPr>
              <w:t>đ) Bước 5: Nhà thầu đáp ứng về mặt kỹ thuật sẽ được mời vào đối chiếu tài liệu.</w:t>
            </w:r>
          </w:p>
          <w:p>
            <w:pPr>
              <w:spacing w:before="0" w:after="60"/>
              <w:jc w:val="left"/>
            </w:pPr>
            <w:r>
              <w:rPr>
                <w:rFonts w:ascii="Times New Roman" w:hAnsi="Times New Roman" w:eastAsia="Times New Roman" w:cs="Times New Roman"/>
                <w:b w:val="0"/>
                <w:i w:val="0"/>
                <w:caps w:val="0"/>
                <w:color w:val="000000"/>
                <w:sz w:val="26"/>
              </w:rPr>
              <w:t>Trường hợp E-HSDT của nhà thầu xếp hạng thứ nhất không đáp ứng thì thực hiện các bước đánh giá nêu trên đối với nhà thầu xếp hạng tiếp theo.</w:t>
            </w:r>
          </w:p>
          <w:p>
            <w:pPr>
              <w:spacing w:before="0" w:after="60"/>
              <w:jc w:val="left"/>
            </w:pPr>
            <w:r>
              <w:rPr>
                <w:rFonts w:ascii="Times New Roman" w:hAnsi="Times New Roman" w:eastAsia="Times New Roman" w:cs="Times New Roman"/>
                <w:b w:val="0"/>
                <w:i w:val="0"/>
                <w:caps w:val="0"/>
                <w:color w:val="000000"/>
                <w:sz w:val="26"/>
              </w:rPr>
              <w:t>29.5. Nguyên tắc đánh giá E-HSDT:</w:t>
            </w:r>
          </w:p>
          <w:p>
            <w:pPr>
              <w:spacing w:before="0" w:after="60"/>
              <w:jc w:val="left"/>
            </w:pPr>
            <w:r>
              <w:rPr>
                <w:rFonts w:ascii="Times New Roman" w:hAnsi="Times New Roman" w:eastAsia="Times New Roman" w:cs="Times New Roman"/>
                <w:b w:val="0"/>
                <w:i w:val="0"/>
                <w:caps w:val="0"/>
                <w:color w:val="000000"/>
                <w:sz w:val="26"/>
              </w:rPr>
              <w:t>a) Đối với các nội dung Hệ thống đánh giá tự động bao gồm tư cách hợp lệ, nhà thầu không có nhân sự bị Tòa án kết án có hành vi vi phạm quy định về đấu thầu gây hậu quả nghiêm trọng, lịch sử không hoàn thành hợp đồng do lỗi của nhà thầu, thực hiện nghĩa vụ kê khai thuế và nộp thuế, doanh thu bình quân hằng năm, trường hợp nhà thầu không kê khai thông tin hoặc có kê khai nhưng không đúng, không đầy đủ, không đáp ứng theo yêu cầu của E-HSMT thì Hệ thống sẽ đánh giá nhà thầu “không đạt” ở nội dung này. Tổ chuyên gia không thể sửa đổi kết quả đánh giá từ “không đạt” thành “đạt” khi Hệ thống đã đánh giá “không đạt”. Trường hợp các thông tin mà nhà thầu cam kết, kê khai trong E-HSDT không trung thực dẫn đến làm sai lệch kết quả đánh giá E-HSDT của nhà thầu thì nhà thầu sẽ bị coi là có hành vi gian lận;</w:t>
            </w:r>
          </w:p>
          <w:p>
            <w:pPr>
              <w:spacing w:before="0" w:after="60"/>
              <w:jc w:val="left"/>
            </w:pPr>
            <w:r>
              <w:rPr>
                <w:rFonts w:ascii="Times New Roman" w:hAnsi="Times New Roman" w:eastAsia="Times New Roman" w:cs="Times New Roman"/>
                <w:b w:val="0"/>
                <w:i w:val="0"/>
                <w:caps w:val="0"/>
                <w:color w:val="000000"/>
                <w:sz w:val="26"/>
              </w:rPr>
              <w:t>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thư bảo lãnh dự thầu hoặc giấy chứng nhận bảo hiểm bảo lãnh bằng văn bản giấy) để đánh giá;</w:t>
            </w:r>
          </w:p>
          <w:p>
            <w:pPr>
              <w:spacing w:before="0" w:after="60"/>
              <w:jc w:val="left"/>
            </w:pPr>
            <w:r>
              <w:rPr>
                <w:rFonts w:ascii="Times New Roman" w:hAnsi="Times New Roman" w:eastAsia="Times New Roman" w:cs="Times New Roman"/>
                <w:b w:val="0"/>
                <w:i w:val="0"/>
                <w:caps w:val="0"/>
                <w:color w:val="000000"/>
                <w:sz w:val="26"/>
              </w:rPr>
              <w:t>c) Trường hợp có sự không thống nhất giữa thông tin về hợp đồng tương tự kê khai trên webform và file tài liệu chứng minh các thông tin về hợp đồng đó thì Chủ đầu tư yêu cầu nhà thầu làm rõ E-HSDT. Trường hợp các hợp đồng mà nhà thầu kê khai, đính kèm trong E-HSDT không đáp ứng yêu cầu của E-HSMT hoặc nhà thầu không kê khai, kê khai không đầy đủ hợp đồng tương tự trên webform, Chủ đầu tư 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w:t>
            </w:r>
          </w:p>
          <w:p>
            <w:pPr>
              <w:spacing w:before="0" w:after="60"/>
              <w:jc w:val="left"/>
            </w:pPr>
            <w:r>
              <w:rPr>
                <w:rFonts w:ascii="Times New Roman" w:hAnsi="Times New Roman" w:eastAsia="Times New Roman" w:cs="Times New Roman"/>
                <w:b w:val="0"/>
                <w:i w:val="0"/>
                <w:caps w:val="0"/>
                <w:color w:val="000000"/>
                <w:sz w:val="26"/>
              </w:rPr>
              <w:t>d) Trường hợp nhân sự chủ chốt, thiết bị chủ yếu (nếu có) mà nhà thầu đề xuất trong E-HSDT không đáp ứng yêu cầu hoặc không chứng minh được khả năng huy động nhân sự chủ chốt, thiết bị chủ yếu (bao gồm cả trường hợp nhân sự, thiết bị đã huy động cho hợp đồng khác có thời gian làm việc trùng với thời gian thực hiện gói thầu này), Chủ đầu tư cho phép nhà thầu bổ sung, thay thế. Nhà thầu chỉ được phép bổ sung, thay thế một lần đối với từng vị trí nhân sự chủ chốt, thiết bị chủ yếu trong một khoảng thời gian phù hợp nhưng không ít hơn 03 ngày làm việc. Trường hợp nhà thầu không có nhân sự chủ chốt, thiết bị chủ yếu thay thế đáp ứng yêu cầu của E-HSMT thì nhà thầu bị loại. Trường hợp nhà thầu cố ý kê khai nhân sự chủ chốt, thiết bị chủ yếu không trung thực trong E-HSDT nhằm làm sai lệch kết quả lựa chọn nhà thầu thì nhà thầu không được thay thế nhân sự, thiết bị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pPr>
              <w:spacing w:before="0" w:after="60"/>
              <w:jc w:val="left"/>
            </w:pPr>
            <w:r>
              <w:rPr>
                <w:rFonts w:ascii="Times New Roman" w:hAnsi="Times New Roman" w:eastAsia="Times New Roman" w:cs="Times New Roman"/>
                <w:b w:val="0"/>
                <w:i w:val="0"/>
                <w:caps w:val="0"/>
                <w:color w:val="000000"/>
                <w:sz w:val="26"/>
              </w:rPr>
              <w:t>Trường hợp nhà thầu được xếp hạng thứ nhất, nhà thầu không được thay đổi nhân sự chủ chốt (nhân sự chủ chốt đã đề xuất trong E-HSDT hoặc nhân sự chủ chốt đã được thay thế một lần theo quy định tại khoản 2 Điều 29 của Nghị định số 214/2025/NĐ-CP), trừ trường hợp do thời gian đánh giá E-HSDT kéo dài hơn so với dự kiến trong kế hoạch lựa chọn nhà thầu hoặc vì lý do bất khả kháng mà các vị trí nhân sự chủ chốt do nhà thầu đã đề xuất không thể tham gia thực hiện hợp đồng. Trong trường hợp đó, nhà thầu được quyền thay đổi nhân sự chủ chốt khác nhưng phải bảo đảm nhân sự chủ chốt dự kiến thay thế có trình độ, kinh nghiệm, năng lực tương đương hoặc cao hơn với nhân sự chủ chốt đã đề xuất và nhà thầu không được thay đổi giá dự thầu.</w:t>
            </w:r>
          </w:p>
          <w:p>
            <w:pPr>
              <w:spacing w:before="0" w:after="60"/>
              <w:jc w:val="left"/>
            </w:pPr>
            <w:r>
              <w:rPr>
                <w:rFonts w:ascii="Times New Roman" w:hAnsi="Times New Roman" w:eastAsia="Times New Roman" w:cs="Times New Roman"/>
                <w:b w:val="0"/>
                <w:i w:val="0"/>
                <w:caps w:val="0"/>
                <w:color w:val="000000"/>
                <w:sz w:val="26"/>
              </w:rPr>
              <w:t>đ) Đối với các nội dung ngoài các nội dung nêu tại các điểm a, b, c và d khoản này, trường hợp có sự không thống nhất giữa thông tin kê khai trên webform và file đính kèm thì thông tin trên webform là cơ sở để xem xét, đánh giá;</w:t>
            </w:r>
          </w:p>
          <w:p>
            <w:pPr>
              <w:spacing w:before="0" w:after="60"/>
              <w:jc w:val="left"/>
            </w:pPr>
            <w:r>
              <w:rPr>
                <w:rFonts w:ascii="Times New Roman" w:hAnsi="Times New Roman" w:eastAsia="Times New Roman" w:cs="Times New Roman"/>
                <w:b w:val="0"/>
                <w:i w:val="0"/>
                <w:caps w:val="0"/>
                <w:color w:val="000000"/>
                <w:sz w:val="26"/>
              </w:rPr>
              <w:t>e) Nhà thầu được mời vào đối chiếu tài liệu phải chuẩn bị các tài liệu để đối chiếu, chứng minh các thông tin mà nhà thầu kê khai trong E-HSDT. Đối với các nội dung về tính hợp lệ, lịch sử không hoàn thành hợp đồng do lỗi của nhà thầu, thực hiện nghĩa vụ kê khai thuế và nộp thuế, doanh thu bình quân hằng năm đã được Hệ thống đánh giá tự động là “đạt” theo thông tin kê khai, trích xuất trong E-HSDT mà tổ chuyên gia đánh giá lại là “không đạt” thì tổ chuyên gia chỉnh sửa lại kết quả đánh giá từ “đạt” thành “không đạt”.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 Đối với thông tin về thực hiện nghĩa vụ kê khai thuế và nộp thuế, doanh thu bình quân hằng năm từ năm 2021 trở đi,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30. Đối chiếu tài liệu</w:t>
            </w:r>
          </w:p>
        </w:tc>
        <w:tc>
          <w:tcPr>
            <w:tcW w:type="dxa" w:w="7300"/>
          </w:tcPr>
          <w:p>
            <w:pPr>
              <w:spacing w:before="0" w:after="60"/>
              <w:jc w:val="left"/>
            </w:pPr>
            <w:r>
              <w:rPr>
                <w:rFonts w:ascii="Times New Roman" w:hAnsi="Times New Roman" w:eastAsia="Times New Roman" w:cs="Times New Roman"/>
                <w:b w:val="0"/>
                <w:i w:val="0"/>
                <w:caps w:val="0"/>
                <w:color w:val="000000"/>
                <w:sz w:val="26"/>
              </w:rPr>
              <w:t>30.1. Nhà thầu được Chủ đầu tư mời vào đối chiếu tài liệu phải nộp một bộ tài liệu chứng minh tính hợp lệ, năng lực và kinh nghiệm cho Chủ đầu tư để Chủ đầu tư tổ chức đối chiếu tài liệu với thông tin nhà thầu kê khai trong E-HSDT, bao gồm:</w:t>
            </w:r>
          </w:p>
          <w:p>
            <w:pPr>
              <w:spacing w:before="0" w:after="60"/>
              <w:jc w:val="left"/>
            </w:pPr>
            <w:r>
              <w:rPr>
                <w:rFonts w:ascii="Times New Roman" w:hAnsi="Times New Roman" w:eastAsia="Times New Roman" w:cs="Times New Roman"/>
                <w:b w:val="0"/>
                <w:i w:val="0"/>
                <w:caps w:val="0"/>
                <w:color w:val="000000"/>
                <w:sz w:val="26"/>
              </w:rPr>
              <w:t>a) Bản gốc bảo đảm dự thầu (đối với trường hợp sử dụng thư bảo lãnh hoặc giấy chứng nhận bảo hiểm bảo lãnh bằng văn bản giấy) hoặc tiền mặt hoặc Séc bảo chi theo quy định tại Mục 18.8 E-CDNT;</w:t>
            </w:r>
          </w:p>
          <w:p>
            <w:pPr>
              <w:spacing w:before="0" w:after="60"/>
              <w:jc w:val="left"/>
            </w:pPr>
            <w:r>
              <w:rPr>
                <w:rFonts w:ascii="Times New Roman" w:hAnsi="Times New Roman" w:eastAsia="Times New Roman" w:cs="Times New Roman"/>
                <w:b w:val="0"/>
                <w:i w:val="0"/>
                <w:caps w:val="0"/>
                <w:color w:val="000000"/>
                <w:sz w:val="26"/>
              </w:rPr>
              <w:t>b) Đối với nhà thầu tự cập nhật số liệu về thuế trên Hệ thống từ năm 2021 trở đi (không phải do Hệ thống tự trích xuất), tài liệu chứng minh thực hiện nghĩa vụ kê khai thuế và nộp thuế của năm gần nhất phù hợp với số liệu về thuế của nhà thầu trên Hệ thống thuế điện tử. Trường hợp số liệu của nhà thầu do Hệ thống trích xuất từ Hệ thống thuế điện tử thì không yêu cầu nhà thầu xuất trình tài liệu để chứng minh;</w:t>
            </w:r>
          </w:p>
          <w:p>
            <w:pPr>
              <w:spacing w:before="0" w:after="60"/>
              <w:jc w:val="left"/>
            </w:pPr>
            <w:r>
              <w:rPr>
                <w:rFonts w:ascii="Times New Roman" w:hAnsi="Times New Roman" w:eastAsia="Times New Roman" w:cs="Times New Roman"/>
                <w:b w:val="0"/>
                <w:i w:val="0"/>
                <w:caps w:val="0"/>
                <w:color w:val="000000"/>
                <w:sz w:val="26"/>
              </w:rPr>
              <w:t>c) Đối với nhà thầu tự cập nhật số liệu tài chính trên Hệ thống từ năm 2021 trở đi (không phải do Hệ thống tự trích xuất), tài liệu chứng minh tình hình tài chính theo quy định tại Mẫu số 08 Chương IV phù hợp với số liệu tài chính trên Hệ thống thuế điện tử. Trường hợp số liệu của nhà thầu do Hệ thống trích xuất từ Hệ thống thông tin quốc gia về đăng ký doanh nghiệp, Hệ thống thuế điện tử thì không yêu cầu nhà thầu xuất trình tài liệu để chứng minh;</w:t>
            </w:r>
          </w:p>
          <w:p>
            <w:pPr>
              <w:spacing w:before="0" w:after="60"/>
              <w:jc w:val="left"/>
            </w:pPr>
            <w:r>
              <w:rPr>
                <w:rFonts w:ascii="Times New Roman" w:hAnsi="Times New Roman" w:eastAsia="Times New Roman" w:cs="Times New Roman"/>
                <w:b w:val="0"/>
                <w:i w:val="0"/>
                <w:caps w:val="0"/>
                <w:color w:val="000000"/>
                <w:sz w:val="26"/>
              </w:rPr>
              <w:t>d) Các tài liệu chứng minh về hợp đồng tương tự mà nhà thầu kê khai, đính kèm trong E-HSDT (hợp đồng, biên bản nghiệm thu, thanh lý, thông tin về hóa đơn theo quy định của pháp luật…);</w:t>
            </w:r>
          </w:p>
          <w:p>
            <w:pPr>
              <w:spacing w:before="0" w:after="60"/>
              <w:jc w:val="left"/>
            </w:pPr>
            <w:r>
              <w:rPr>
                <w:rFonts w:ascii="Times New Roman" w:hAnsi="Times New Roman" w:eastAsia="Times New Roman" w:cs="Times New Roman"/>
                <w:b w:val="0"/>
                <w:i w:val="0"/>
                <w:caps w:val="0"/>
                <w:color w:val="000000"/>
                <w:sz w:val="26"/>
              </w:rPr>
              <w:t>đ) Tài liệu chứng minh khả năng huy động nhân sự chủ chốt (nếu có), thiết bị chủ yếu (nếu có): bằng cấp, chứng chỉ, kinh nghiệm của nhân sự mà nhà thầu kê khai trong E-HSDT;</w:t>
            </w:r>
          </w:p>
          <w:p>
            <w:pPr>
              <w:spacing w:before="0" w:after="60"/>
              <w:jc w:val="left"/>
            </w:pPr>
            <w:r>
              <w:rPr>
                <w:rFonts w:ascii="Times New Roman" w:hAnsi="Times New Roman" w:eastAsia="Times New Roman" w:cs="Times New Roman"/>
                <w:b w:val="0"/>
                <w:i w:val="0"/>
                <w:caps w:val="0"/>
                <w:color w:val="000000"/>
                <w:sz w:val="26"/>
              </w:rPr>
              <w:t>e) Tài liệu khác (nếu có).</w:t>
            </w:r>
          </w:p>
          <w:p>
            <w:pPr>
              <w:spacing w:before="0" w:after="60"/>
              <w:jc w:val="left"/>
            </w:pPr>
            <w:r>
              <w:rPr>
                <w:rFonts w:ascii="Times New Roman" w:hAnsi="Times New Roman" w:eastAsia="Times New Roman" w:cs="Times New Roman"/>
                <w:b w:val="0"/>
                <w:i w:val="0"/>
                <w:caps w:val="0"/>
                <w:color w:val="000000"/>
                <w:sz w:val="26"/>
              </w:rPr>
              <w:t>30.2. Nhà thầu có tài liệu đối chiếu phù hợp sẽ được xét duyệt trúng thầu. Đối với số liệu về thuế, số liệu về tài chính từ năm 2021 trở đi do nhà thầu tự cập nhật không phù hợp với số liệu trên Hệ thống thông tin quốc gia về đăng ký doanh nghiệp, Hệ thống thuế điện tử dẫn đến làm sai lệch kết quả lựa chọn nhà thầu thì nhà thầu bị loại và bị coi là có hành vi gian lận quy định tại điểm b Mục 4.4 E-CDNT.</w:t>
            </w:r>
          </w:p>
          <w:p>
            <w:pPr>
              <w:spacing w:before="0" w:after="60"/>
              <w:jc w:val="left"/>
            </w:pPr>
            <w:r>
              <w:rPr>
                <w:rFonts w:ascii="Times New Roman" w:hAnsi="Times New Roman" w:eastAsia="Times New Roman" w:cs="Times New Roman"/>
                <w:b w:val="0"/>
                <w:i w:val="0"/>
                <w:caps w:val="0"/>
                <w:color w:val="000000"/>
                <w:sz w:val="26"/>
              </w:rPr>
              <w:t>30.3. Chủ đầu tư gửi Thông báo mời đối chiếu tài liệu đến nhà thầu trên Hệ thống. Trong Thông báo mời đối chiếu tài liệu phải ghi rõ thời gian có hiệu lực của bảo lãnh dự thầu (đối với bảo đảm dự thầu có giá trị dưới 50 triệu đồng), thời gian, địa điểm thực hiện đối chiếu tài liệu trên cơ sở bảo đảm nhà thầu có đủ thời gian chuẩn bị và đến đối chiếu tài liệu theo yêu cầu của Chủ đầu tư.</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31. Điều kiện xét duyệt trúng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được xem xét, đề nghị trúng thầu khi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31.1. Có E-HSDT hợp lệ theo quy định tại Mục 1 Chương III. Trường hợp tại thời điểm xét duyệt trúng thầu, nếu nhà thầu bị tạm ngừng, chấm dứt tham gia Hệ thống thì Chủ đầu tư cần yêu cầu Nhà thầu thực hiện khôi phục trạng thái tham gia để được xét duyệt trúng thầu.</w:t>
            </w:r>
          </w:p>
          <w:p>
            <w:pPr>
              <w:spacing w:before="0" w:after="60"/>
              <w:jc w:val="left"/>
            </w:pPr>
            <w:r>
              <w:rPr>
                <w:rFonts w:ascii="Times New Roman" w:hAnsi="Times New Roman" w:eastAsia="Times New Roman" w:cs="Times New Roman"/>
                <w:b w:val="0"/>
                <w:i w:val="0"/>
                <w:caps w:val="0"/>
                <w:color w:val="000000"/>
                <w:sz w:val="26"/>
              </w:rPr>
              <w:t>31.2. Có năng lực và kinh nghiệm đáp ứng yêu cầu theo quy định tại Mục 2 Chương III.</w:t>
            </w:r>
          </w:p>
          <w:p>
            <w:pPr>
              <w:spacing w:before="0" w:after="60"/>
              <w:jc w:val="left"/>
            </w:pPr>
            <w:r>
              <w:rPr>
                <w:rFonts w:ascii="Times New Roman" w:hAnsi="Times New Roman" w:eastAsia="Times New Roman" w:cs="Times New Roman"/>
                <w:b w:val="0"/>
                <w:i w:val="0"/>
                <w:caps w:val="0"/>
                <w:color w:val="000000"/>
                <w:sz w:val="26"/>
              </w:rPr>
              <w:t>31.3. Có đề xuất về kỹ thuật đáp ứng yêu cầu theo quy định tại Mục 3 Chương III.</w:t>
            </w:r>
          </w:p>
          <w:p>
            <w:pPr>
              <w:spacing w:before="0" w:after="60"/>
              <w:jc w:val="left"/>
            </w:pPr>
            <w:r>
              <w:rPr>
                <w:rFonts w:ascii="Times New Roman" w:hAnsi="Times New Roman" w:eastAsia="Times New Roman" w:cs="Times New Roman"/>
                <w:b w:val="0"/>
                <w:i w:val="0"/>
                <w:caps w:val="0"/>
                <w:color w:val="000000"/>
                <w:sz w:val="26"/>
              </w:rPr>
              <w:t>31.4. Đáp ứng điều kiện theo quy định tại E-BDL.</w:t>
            </w:r>
          </w:p>
          <w:p>
            <w:pPr>
              <w:spacing w:before="0" w:after="60"/>
              <w:jc w:val="left"/>
            </w:pPr>
            <w:r>
              <w:rPr>
                <w:rFonts w:ascii="Times New Roman" w:hAnsi="Times New Roman" w:eastAsia="Times New Roman" w:cs="Times New Roman"/>
                <w:b w:val="0"/>
                <w:i w:val="0"/>
                <w:caps w:val="0"/>
                <w:color w:val="000000"/>
                <w:sz w:val="26"/>
              </w:rPr>
              <w:t>31.5. Có giá đề nghị trúng thầu (đã bao gồm thuế, phí, lệ phí (nếu có)) không vượt giá gói thầu để làm căn cứ xét duyệt trúng thầu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32. Hủy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32.1. Các trường hợp hủy thầu bao gồm:</w:t>
            </w:r>
          </w:p>
          <w:p>
            <w:pPr>
              <w:spacing w:before="0" w:after="60"/>
              <w:jc w:val="left"/>
            </w:pPr>
            <w:r>
              <w:rPr>
                <w:rFonts w:ascii="Times New Roman" w:hAnsi="Times New Roman" w:eastAsia="Times New Roman" w:cs="Times New Roman"/>
                <w:b w:val="0"/>
                <w:i w:val="0"/>
                <w:caps w:val="0"/>
                <w:color w:val="000000"/>
                <w:sz w:val="26"/>
              </w:rPr>
              <w:t>a) Tất cả E-HSDT không đáp ứng được các yêu cầu của E-HSMT;</w:t>
            </w:r>
          </w:p>
          <w:p>
            <w:pPr>
              <w:spacing w:before="0" w:after="60"/>
              <w:jc w:val="left"/>
            </w:pPr>
            <w:r>
              <w:rPr>
                <w:rFonts w:ascii="Times New Roman" w:hAnsi="Times New Roman" w:eastAsia="Times New Roman" w:cs="Times New Roman"/>
                <w:b w:val="0"/>
                <w:i w:val="0"/>
                <w:caps w:val="0"/>
                <w:color w:val="000000"/>
                <w:sz w:val="26"/>
              </w:rPr>
              <w:t>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E-HSMT;</w:t>
            </w:r>
          </w:p>
          <w:p>
            <w:pPr>
              <w:spacing w:before="0" w:after="60"/>
              <w:jc w:val="left"/>
            </w:pPr>
            <w:r>
              <w:rPr>
                <w:rFonts w:ascii="Times New Roman" w:hAnsi="Times New Roman" w:eastAsia="Times New Roman" w:cs="Times New Roman"/>
                <w:b w:val="0"/>
                <w:i w:val="0"/>
                <w:caps w:val="0"/>
                <w:color w:val="000000"/>
                <w:sz w:val="26"/>
              </w:rPr>
              <w:t>c) E-HSMT không tuân thủ quy định của Luật Đấu thầu, quy định khác của pháp luật có liên quan dẫn đến nhà thầu được lựa chọn không đáp ứng yêu cầu để thực hiện gói thầu;</w:t>
            </w:r>
          </w:p>
          <w:p>
            <w:pPr>
              <w:spacing w:before="0" w:after="60"/>
              <w:jc w:val="left"/>
            </w:pPr>
            <w:r>
              <w:rPr>
                <w:rFonts w:ascii="Times New Roman" w:hAnsi="Times New Roman" w:eastAsia="Times New Roman" w:cs="Times New Roman"/>
                <w:b w:val="0"/>
                <w:i w:val="0"/>
                <w:caps w:val="0"/>
                <w:color w:val="000000"/>
                <w:sz w:val="26"/>
              </w:rPr>
              <w:t>d) Tổ chức, cá nhân khác ngoài nhà thầu trúng thầu thực hiện hành vi bị cấm quy định tại Điều 16 của Luật Đấu thầu dẫn đến sai lệch kết quả lựa chọn nhà thầu.</w:t>
            </w:r>
          </w:p>
          <w:p>
            <w:pPr>
              <w:spacing w:before="0" w:after="60"/>
              <w:jc w:val="left"/>
            </w:pPr>
            <w:r>
              <w:rPr>
                <w:rFonts w:ascii="Times New Roman" w:hAnsi="Times New Roman" w:eastAsia="Times New Roman" w:cs="Times New Roman"/>
                <w:b w:val="0"/>
                <w:i w:val="0"/>
                <w:caps w:val="0"/>
                <w:color w:val="000000"/>
                <w:sz w:val="26"/>
              </w:rPr>
              <w:t>đ) Hủy thầu theo quy định tại khoản 5 Điều 42 của Luật Đấu thầu.</w:t>
            </w:r>
          </w:p>
          <w:p>
            <w:pPr>
              <w:spacing w:before="0" w:after="60"/>
              <w:jc w:val="left"/>
            </w:pPr>
            <w:r>
              <w:rPr>
                <w:rFonts w:ascii="Times New Roman" w:hAnsi="Times New Roman" w:eastAsia="Times New Roman" w:cs="Times New Roman"/>
                <w:b w:val="0"/>
                <w:i w:val="0"/>
                <w:caps w:val="0"/>
                <w:color w:val="000000"/>
                <w:sz w:val="26"/>
              </w:rPr>
              <w:t>32.2. Tổ chức, cá nhân vi phạm quy định pháp luật về đấu thầu dẫn đến hủy thầu theo quy định tại các điểm c và d Mục 32.1 E-CDNT phải đền bù chi phí cho các bên liên quan và bị xử lý theo quy định của pháp luật.</w:t>
            </w:r>
          </w:p>
          <w:p>
            <w:pPr>
              <w:spacing w:before="0" w:after="60"/>
              <w:jc w:val="left"/>
            </w:pPr>
            <w:r>
              <w:rPr>
                <w:rFonts w:ascii="Times New Roman" w:hAnsi="Times New Roman" w:eastAsia="Times New Roman" w:cs="Times New Roman"/>
                <w:b w:val="0"/>
                <w:i w:val="0"/>
                <w:caps w:val="0"/>
                <w:color w:val="000000"/>
                <w:sz w:val="26"/>
              </w:rPr>
              <w:t>32.3. Trường hợp hủy thầu theo quy định tại Mục này, trong thời hạn 05 ngày làm việc, Chủ đầu tư phải hoàn trả hoặc giải toả bảo đảm dự thầu cho nhà thầu đã nộp bản gốc bảo đảm dự thầu, trừ trường hợp nhà thầu vi phạm dẫn đến không được hoàn trả giá trị bảo đảm dự thầu theo quy định tại khoản 9 Điều 14 của Luật Đấu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33. Thông báo kết quả lựa chọn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33.1.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pPr>
              <w:spacing w:before="0" w:after="60"/>
              <w:jc w:val="left"/>
            </w:pPr>
            <w:r>
              <w:rPr>
                <w:rFonts w:ascii="Times New Roman" w:hAnsi="Times New Roman" w:eastAsia="Times New Roman" w:cs="Times New Roman"/>
                <w:b w:val="0"/>
                <w:i w:val="0"/>
                <w:caps w:val="0"/>
                <w:color w:val="000000"/>
                <w:sz w:val="26"/>
              </w:rPr>
              <w:t>a) Thông tin về gói thầu:</w:t>
            </w:r>
          </w:p>
          <w:p>
            <w:pPr>
              <w:spacing w:before="0" w:after="60"/>
              <w:jc w:val="left"/>
            </w:pPr>
            <w:r>
              <w:rPr>
                <w:rFonts w:ascii="Times New Roman" w:hAnsi="Times New Roman" w:eastAsia="Times New Roman" w:cs="Times New Roman"/>
                <w:b w:val="0"/>
                <w:i w:val="0"/>
                <w:caps w:val="0"/>
                <w:color w:val="000000"/>
                <w:sz w:val="26"/>
              </w:rPr>
              <w:t>- Số E-TBMT;</w:t>
            </w:r>
          </w:p>
          <w:p>
            <w:pPr>
              <w:spacing w:before="0" w:after="60"/>
              <w:jc w:val="left"/>
            </w:pPr>
            <w:r>
              <w:rPr>
                <w:rFonts w:ascii="Times New Roman" w:hAnsi="Times New Roman" w:eastAsia="Times New Roman" w:cs="Times New Roman"/>
                <w:b w:val="0"/>
                <w:i w:val="0"/>
                <w:caps w:val="0"/>
                <w:color w:val="000000"/>
                <w:sz w:val="26"/>
              </w:rPr>
              <w:t>- Tên gói thầu;</w:t>
            </w:r>
          </w:p>
          <w:p>
            <w:pPr>
              <w:spacing w:before="0" w:after="60"/>
              <w:jc w:val="left"/>
            </w:pPr>
            <w:r>
              <w:rPr>
                <w:rFonts w:ascii="Times New Roman" w:hAnsi="Times New Roman" w:eastAsia="Times New Roman" w:cs="Times New Roman"/>
                <w:b w:val="0"/>
                <w:i w:val="0"/>
                <w:caps w:val="0"/>
                <w:color w:val="000000"/>
                <w:sz w:val="26"/>
              </w:rPr>
              <w:t>- Giá gói thầu hoặc dự toán được duyệt (nếu có);</w:t>
            </w:r>
          </w:p>
          <w:p>
            <w:pPr>
              <w:spacing w:before="0" w:after="60"/>
              <w:jc w:val="left"/>
            </w:pPr>
            <w:r>
              <w:rPr>
                <w:rFonts w:ascii="Times New Roman" w:hAnsi="Times New Roman" w:eastAsia="Times New Roman" w:cs="Times New Roman"/>
                <w:b w:val="0"/>
                <w:i w:val="0"/>
                <w:caps w:val="0"/>
                <w:color w:val="000000"/>
                <w:sz w:val="26"/>
              </w:rPr>
              <w:t>- Tên Chủ đầu tư;</w:t>
            </w:r>
          </w:p>
          <w:p>
            <w:pPr>
              <w:spacing w:before="0" w:after="60"/>
              <w:jc w:val="left"/>
            </w:pPr>
            <w:r>
              <w:rPr>
                <w:rFonts w:ascii="Times New Roman" w:hAnsi="Times New Roman" w:eastAsia="Times New Roman" w:cs="Times New Roman"/>
                <w:b w:val="0"/>
                <w:i w:val="0"/>
                <w:caps w:val="0"/>
                <w:color w:val="000000"/>
                <w:sz w:val="26"/>
              </w:rPr>
              <w:t>- Hình thức lựa chọn nhà thầu;</w:t>
            </w:r>
          </w:p>
          <w:p>
            <w:pPr>
              <w:spacing w:before="0" w:after="60"/>
              <w:jc w:val="left"/>
            </w:pPr>
            <w:r>
              <w:rPr>
                <w:rFonts w:ascii="Times New Roman" w:hAnsi="Times New Roman" w:eastAsia="Times New Roman" w:cs="Times New Roman"/>
                <w:b w:val="0"/>
                <w:i w:val="0"/>
                <w:caps w:val="0"/>
                <w:color w:val="000000"/>
                <w:sz w:val="26"/>
              </w:rPr>
              <w:t>- Loại hợp đồng;</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b) Thông tin về nhà thầu trúng thầu:</w:t>
            </w:r>
          </w:p>
          <w:p>
            <w:pPr>
              <w:spacing w:before="0" w:after="60"/>
              <w:jc w:val="left"/>
            </w:pPr>
            <w:r>
              <w:rPr>
                <w:rFonts w:ascii="Times New Roman" w:hAnsi="Times New Roman" w:eastAsia="Times New Roman" w:cs="Times New Roman"/>
                <w:b w:val="0"/>
                <w:i w:val="0"/>
                <w:caps w:val="0"/>
                <w:color w:val="000000"/>
                <w:sz w:val="26"/>
              </w:rPr>
              <w:t>- Mã số thuế;</w:t>
            </w:r>
          </w:p>
          <w:p>
            <w:pPr>
              <w:spacing w:before="0" w:after="60"/>
              <w:jc w:val="left"/>
            </w:pPr>
            <w:r>
              <w:rPr>
                <w:rFonts w:ascii="Times New Roman" w:hAnsi="Times New Roman" w:eastAsia="Times New Roman" w:cs="Times New Roman"/>
                <w:b w:val="0"/>
                <w:i w:val="0"/>
                <w:caps w:val="0"/>
                <w:color w:val="000000"/>
                <w:sz w:val="26"/>
              </w:rPr>
              <w:t>- Tên nhà thầu;</w:t>
            </w:r>
          </w:p>
          <w:p>
            <w:pPr>
              <w:spacing w:before="0" w:after="60"/>
              <w:jc w:val="left"/>
            </w:pPr>
            <w:r>
              <w:rPr>
                <w:rFonts w:ascii="Times New Roman" w:hAnsi="Times New Roman" w:eastAsia="Times New Roman" w:cs="Times New Roman"/>
                <w:b w:val="0"/>
                <w:i w:val="0"/>
                <w:caps w:val="0"/>
                <w:color w:val="000000"/>
                <w:sz w:val="26"/>
              </w:rPr>
              <w:t>- Giá dự thầu;</w:t>
            </w:r>
          </w:p>
          <w:p>
            <w:pPr>
              <w:spacing w:before="0" w:after="60"/>
              <w:jc w:val="left"/>
            </w:pPr>
            <w:r>
              <w:rPr>
                <w:rFonts w:ascii="Times New Roman" w:hAnsi="Times New Roman" w:eastAsia="Times New Roman" w:cs="Times New Roman"/>
                <w:b w:val="0"/>
                <w:i w:val="0"/>
                <w:caps w:val="0"/>
                <w:color w:val="000000"/>
                <w:sz w:val="26"/>
              </w:rPr>
              <w:t>- Giá dự thầu sau giảm giá (nếu có);</w:t>
            </w:r>
          </w:p>
          <w:p>
            <w:pPr>
              <w:spacing w:before="0" w:after="60"/>
              <w:jc w:val="left"/>
            </w:pPr>
            <w:r>
              <w:rPr>
                <w:rFonts w:ascii="Times New Roman" w:hAnsi="Times New Roman" w:eastAsia="Times New Roman" w:cs="Times New Roman"/>
                <w:b w:val="0"/>
                <w:i w:val="0"/>
                <w:caps w:val="0"/>
                <w:color w:val="000000"/>
                <w:sz w:val="26"/>
              </w:rPr>
              <w:t>- Điểm kỹ thuật (nếu có);</w:t>
            </w:r>
          </w:p>
          <w:p>
            <w:pPr>
              <w:spacing w:before="0" w:after="60"/>
              <w:jc w:val="left"/>
            </w:pPr>
            <w:r>
              <w:rPr>
                <w:rFonts w:ascii="Times New Roman" w:hAnsi="Times New Roman" w:eastAsia="Times New Roman" w:cs="Times New Roman"/>
                <w:b w:val="0"/>
                <w:i w:val="0"/>
                <w:caps w:val="0"/>
                <w:color w:val="000000"/>
                <w:sz w:val="26"/>
              </w:rPr>
              <w:t>- Giá đánh giá (nếu có);</w:t>
            </w:r>
          </w:p>
          <w:p>
            <w:pPr>
              <w:spacing w:before="0" w:after="60"/>
              <w:jc w:val="left"/>
            </w:pPr>
            <w:r>
              <w:rPr>
                <w:rFonts w:ascii="Times New Roman" w:hAnsi="Times New Roman" w:eastAsia="Times New Roman" w:cs="Times New Roman"/>
                <w:b w:val="0"/>
                <w:i w:val="0"/>
                <w:caps w:val="0"/>
                <w:color w:val="000000"/>
                <w:sz w:val="26"/>
              </w:rPr>
              <w:t>- Giá trúng thầu;</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 Thời gian thực hiện hợp đồng.</w:t>
            </w:r>
          </w:p>
          <w:p>
            <w:pPr>
              <w:spacing w:before="0" w:after="60"/>
              <w:jc w:val="left"/>
            </w:pPr>
            <w:r>
              <w:rPr>
                <w:rFonts w:ascii="Times New Roman" w:hAnsi="Times New Roman" w:eastAsia="Times New Roman" w:cs="Times New Roman"/>
                <w:b w:val="0"/>
                <w:i w:val="0"/>
                <w:caps w:val="0"/>
                <w:color w:val="000000"/>
                <w:sz w:val="26"/>
              </w:rPr>
              <w:t>c) Danh sách nhà thầu không được lựa chọn và tóm tắt về lý do không được lựa chọn của từng nhà thầu.</w:t>
            </w:r>
          </w:p>
          <w:p>
            <w:pPr>
              <w:spacing w:before="0" w:after="60"/>
              <w:jc w:val="left"/>
            </w:pPr>
            <w:r>
              <w:rPr>
                <w:rFonts w:ascii="Times New Roman" w:hAnsi="Times New Roman" w:eastAsia="Times New Roman" w:cs="Times New Roman"/>
                <w:b w:val="0"/>
                <w:i w:val="0"/>
                <w:caps w:val="0"/>
                <w:color w:val="000000"/>
                <w:sz w:val="26"/>
              </w:rPr>
              <w:t>33.2. Trường hợp có yêu cầu giải thích lý do cụ thể nhà thầu không trúng thầu, nhà thầu gửi đề nghị trên Hệ thống hoặc gặp trực tiếp Chủ đầu tư. Chủ đầu tư có trách nhiệm trả lời yêu cầu của nhà thầu trong thời hạn 02 ngày làm việc kể từ ngày nhận được yêu cầu của nhà thầu.</w:t>
            </w:r>
          </w:p>
          <w:p>
            <w:pPr>
              <w:spacing w:before="0" w:after="60"/>
              <w:jc w:val="left"/>
            </w:pPr>
            <w:r>
              <w:rPr>
                <w:rFonts w:ascii="Times New Roman" w:hAnsi="Times New Roman" w:eastAsia="Times New Roman" w:cs="Times New Roman"/>
                <w:b w:val="0"/>
                <w:i w:val="0"/>
                <w:caps w:val="0"/>
                <w:color w:val="000000"/>
                <w:sz w:val="26"/>
              </w:rPr>
              <w:t>33.3. Trường hợp hủy thầu theo quy định tại điểm a Mục 32.1 E-CDNT, trong thông báo kết quả lựa chọn nhà thầu và trên Hệ thống phải nêu rõ lý do hủy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34. Thay đổi khối lượng dịch vụ</w:t>
            </w:r>
          </w:p>
        </w:tc>
        <w:tc>
          <w:tcPr>
            <w:tcW w:type="dxa" w:w="7300"/>
          </w:tcPr>
          <w:p>
            <w:pPr>
              <w:spacing w:before="0" w:after="60"/>
              <w:jc w:val="left"/>
            </w:pPr>
            <w:r>
              <w:rPr>
                <w:rFonts w:ascii="Times New Roman" w:hAnsi="Times New Roman" w:eastAsia="Times New Roman" w:cs="Times New Roman"/>
                <w:b w:val="0"/>
                <w:i w:val="0"/>
                <w:caps w:val="0"/>
                <w:color w:val="000000"/>
                <w:sz w:val="26"/>
              </w:rPr>
              <w:t>34.1. Vào thời điểm trao hợp đồng, Chủ đầu tư có quyền tăng hoặc giảm khối lượng dịch vụ nêu trong Chương IV với điều kiện sự thay đổi đó không vượt quá tỷ lệ quy định tại E-BDL và không có bất kỳ thay đổi nào về đơn giá hay các điều kiện, điều khoản khác của E-HSDT và E-HSMT. Tỷ lệ tăng, giảm khối lượng không vượt quá 10%.</w:t>
            </w:r>
          </w:p>
          <w:p>
            <w:pPr>
              <w:spacing w:before="0" w:after="60"/>
              <w:jc w:val="left"/>
            </w:pPr>
            <w:r>
              <w:rPr>
                <w:rFonts w:ascii="Times New Roman" w:hAnsi="Times New Roman" w:eastAsia="Times New Roman" w:cs="Times New Roman"/>
                <w:b w:val="0"/>
                <w:i w:val="0"/>
                <w:caps w:val="0"/>
                <w:color w:val="000000"/>
                <w:sz w:val="26"/>
              </w:rPr>
              <w:t>34.2. Tùy chọn mua thêm:</w:t>
            </w:r>
          </w:p>
          <w:p>
            <w:pPr>
              <w:spacing w:before="0" w:after="60"/>
              <w:jc w:val="left"/>
            </w:pPr>
            <w:r>
              <w:rPr>
                <w:rFonts w:ascii="Times New Roman" w:hAnsi="Times New Roman" w:eastAsia="Times New Roman" w:cs="Times New Roman"/>
                <w:b w:val="0"/>
                <w:i w:val="0"/>
                <w:caps w:val="0"/>
                <w:color w:val="000000"/>
                <w:sz w:val="26"/>
              </w:rPr>
              <w:t>Trước khi hợp đồng hết hiệu lực, Chủ đầu tư với nhà thầu thỏa thuận mua bổ sung khối lượng dịch vụ của gói thầu ngoài khối lượng nêu trong Chương IV với điều kiện không vượt quá tỷ lệ quy định tại E-BDL và đáp ứng quy định tại khoản 8 Điều 39 của Luật Đấu thầu. Phần công việc mua bổ sung phải tương tự với phần công việc nêu trong hợp đồng đã ký kết và đã có đơn giá. Khối lượng dịch vụ bổ sung này không được sử dụng để đánh giá về năng lực, kinh nghiệm của nhà thầu. Đối với nhà thầu liên danh, việc phân chia trách nhiệm thực hiện khối lượng bổ sung theo tùy chọn mua thêm thực hiện theo tỷ lệ phân chia công việc theo hợp đồng đã ký, trừ trường hợp các bên có thỏa thuận khác.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35. Thông báo chấp thuận E-HSDT và trao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Sau khi Chủ đầu tư đăng tải thông báo kết quả lựa chọn nhà thầu, Chủ đầu tư gửi thông báo chấp thuận E-HSDT và trao hợp đồng thông qua Hệ thống, bao gồm cả yêu cầu về biện pháp bảo đảm thực hiện hợp đồng, thời gian hoàn thiện, ký kết hợp đồng theo quy định tại Mẫu số 13 Chương VIII cho 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hoàn trả giá trị bảo đảm dự thầu theo quy định tại điểm b Mục 18.5 E-CDNT. Thời hạn nêu trong thông báo chấp thuận E-HSDT và trao hợp đồng được tính kể từ ngày Chủ đầu tư gửi thông báo chấp thuận này cho nhà thầu trúng thầu trên Hệ thống.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36. Điều kiện ký kết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36.1. Tại thời điểm ký kết hợp đồng, E-HSDT của nhà thầu được lựa chọn còn hiệu lực.</w:t>
            </w:r>
          </w:p>
          <w:p>
            <w:pPr>
              <w:spacing w:before="0" w:after="60"/>
              <w:jc w:val="left"/>
            </w:pPr>
            <w:r>
              <w:rPr>
                <w:rFonts w:ascii="Times New Roman" w:hAnsi="Times New Roman" w:eastAsia="Times New Roman" w:cs="Times New Roman"/>
                <w:b w:val="0"/>
                <w:i w:val="0"/>
                <w:caps w:val="0"/>
                <w:color w:val="000000"/>
                <w:sz w:val="26"/>
              </w:rPr>
              <w:t>36.2. Tại thời điểm ký kết hợp đồng, nhà thầu được lựa chọn phải bảo đảm đáp ứng yêu cầu về năng lực kỹ thuật, tài chính để thực hiện gói thầu theo yêu cầu của E-HSMT. Trường hợp thực tế nhà thầu không còn đáp ứng cơ bản yêu cầu về năng lực kỹ thuật, tài chính theo quy định nêu trong E-HSMT thì Chủ đầu tư sẽ từ chối ký kết hợp đồng với nhà thầu. Chủ đầu tư sẽ hủy quyết định phê duyệt kết quả lựa chọn nhà thầu, thông báo chấp thuận E-HSDT và trao hợp đồng trước đó và mời nhà thầu xếp hạng tiếp theo vào đối chiếu tài liệu.</w:t>
            </w:r>
          </w:p>
          <w:p>
            <w:pPr>
              <w:spacing w:before="0" w:after="60"/>
              <w:jc w:val="left"/>
            </w:pPr>
            <w:r>
              <w:rPr>
                <w:rFonts w:ascii="Times New Roman" w:hAnsi="Times New Roman" w:eastAsia="Times New Roman" w:cs="Times New Roman"/>
                <w:b w:val="0"/>
                <w:i w:val="0"/>
                <w:caps w:val="0"/>
                <w:color w:val="000000"/>
                <w:sz w:val="26"/>
              </w:rPr>
              <w:t>36.3. Chủ đầu tư phải bảo đảm các điều kiện về vốn tạm ứng, vốn thanh toán và các điều kiện cần thiết khác để triển khai thực hiện gói thầu theo đúng tiến độ.</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37. Bảo đảm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37.1. Nhà thầu được lựa chọn phải thực hiện biện pháp bảo đảm thực hiện hợp đồng trước hoặc cùng thời điểm hợp đồng có hiệu lực theo quy định tại Mục 5 E-ĐKC Chương VI. Trường hợp áp dụng thư bảo lãnh thực hiện hợp đồng phải sử dụng mẫu quy định tại Phần 4 hoặc một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37.2. Nhà thầu không được hoàn trả bảo đảm thực hiện hợp đồng trong trường hợp sau đây:</w:t>
            </w:r>
          </w:p>
          <w:p>
            <w:pPr>
              <w:spacing w:before="0" w:after="60"/>
              <w:jc w:val="left"/>
            </w:pPr>
            <w:r>
              <w:rPr>
                <w:rFonts w:ascii="Times New Roman" w:hAnsi="Times New Roman" w:eastAsia="Times New Roman" w:cs="Times New Roman"/>
                <w:b w:val="0"/>
                <w:i w:val="0"/>
                <w:caps w:val="0"/>
                <w:color w:val="000000"/>
                <w:sz w:val="26"/>
              </w:rPr>
              <w:t>a) Từ chối thực hiện hợp đồng khi hợp đồng có hiệu lực;</w:t>
            </w:r>
          </w:p>
          <w:p>
            <w:pPr>
              <w:spacing w:before="0" w:after="60"/>
              <w:jc w:val="left"/>
            </w:pPr>
            <w:r>
              <w:rPr>
                <w:rFonts w:ascii="Times New Roman" w:hAnsi="Times New Roman" w:eastAsia="Times New Roman" w:cs="Times New Roman"/>
                <w:b w:val="0"/>
                <w:i w:val="0"/>
                <w:caps w:val="0"/>
                <w:color w:val="000000"/>
                <w:sz w:val="26"/>
              </w:rPr>
              <w:t>b) Vi phạm thỏa thuận trong hợp đồng;</w:t>
            </w:r>
          </w:p>
          <w:p>
            <w:pPr>
              <w:spacing w:before="0" w:after="60"/>
              <w:jc w:val="left"/>
            </w:pPr>
            <w:r>
              <w:rPr>
                <w:rFonts w:ascii="Times New Roman" w:hAnsi="Times New Roman" w:eastAsia="Times New Roman" w:cs="Times New Roman"/>
                <w:b w:val="0"/>
                <w:i w:val="0"/>
                <w:caps w:val="0"/>
                <w:color w:val="000000"/>
                <w:sz w:val="26"/>
              </w:rPr>
              <w:t>c) Thực hiện hợp đồng chậm tiến độ do lỗi của mình nhưng từ chối gia hạn hiệu lực của bảo đảm thực hiện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38. Giải quyết kiến nghị trong đấu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38.1. Đối với gói thầu thuộc phạm vi điều chỉnh của Luật Đấu thầu</w:t>
            </w:r>
          </w:p>
          <w:p>
            <w:pPr>
              <w:spacing w:before="0" w:after="60"/>
              <w:jc w:val="left"/>
            </w:pPr>
            <w:r>
              <w:rPr>
                <w:rFonts w:ascii="Times New Roman" w:hAnsi="Times New Roman" w:eastAsia="Times New Roman" w:cs="Times New Roman"/>
                <w:b w:val="0"/>
                <w:i w:val="0"/>
                <w:caps w:val="0"/>
                <w:color w:val="000000"/>
                <w:sz w:val="26"/>
              </w:rPr>
              <w:t>a) Khi thấy quyền và lợi ích hợp pháp bị ảnh hưởng, nhà thầu, cơ quan, tổ chức được kiến nghị Hội đồng giải quyết kiến nghị, người có thẩm quyền, Chủ đầu tư xem xét lại các vấn đề trong quá trình lựa chọn nhà thầu, kết quả lựa chọn nhà thầu theo quy định tại Điều 89 của Luật Đấu thầu và các Điều 137, 138 và 139 của Nghị định số 214/2025/NĐ-CP.</w:t>
            </w:r>
          </w:p>
          <w:p>
            <w:pPr>
              <w:spacing w:before="0" w:after="60"/>
              <w:jc w:val="left"/>
            </w:pPr>
            <w:r>
              <w:rPr>
                <w:rFonts w:ascii="Times New Roman" w:hAnsi="Times New Roman" w:eastAsia="Times New Roman" w:cs="Times New Roman"/>
                <w:b w:val="0"/>
                <w:i w:val="0"/>
                <w:caps w:val="0"/>
                <w:color w:val="000000"/>
                <w:sz w:val="26"/>
              </w:rPr>
              <w:t>b) Trường hợp kiến nghị lên Chủ đầu tư, nhà thầu, cơ quan, tổ chức gửi kiến nghị trực tiếp trên Hệ thống. Trường hợp kiến nghị lên Hội đồng giải quyết kiến nghị, người có thẩm quyền, nhà thầu gửi kiến nghị theo địa chỉ quy định tại E-BDL.</w:t>
            </w:r>
          </w:p>
          <w:p>
            <w:pPr>
              <w:spacing w:before="0" w:after="60"/>
              <w:jc w:val="left"/>
            </w:pPr>
            <w:r>
              <w:rPr>
                <w:rFonts w:ascii="Times New Roman" w:hAnsi="Times New Roman" w:eastAsia="Times New Roman" w:cs="Times New Roman"/>
                <w:b w:val="0"/>
                <w:i w:val="0"/>
                <w:caps w:val="0"/>
                <w:color w:val="000000"/>
                <w:sz w:val="26"/>
              </w:rPr>
              <w:t>38.2. Đối với hoạt động lựa chọn nhà thầu quy định tại điểm d khoản 7 Điều 3 Luật Đấu thầu hoặc hoạt động lựa chọn nhà thầu không thuộc phạm vi điều chỉnh của Luật Đấu thầu, việc giải quyết kiến nghị thực hiện theo quy định tại E-BDL.</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II. Bảng dữ liệu đấu thầu</w:t>
      </w:r>
    </w:p>
    <w:p>
      <w:pPr>
        <w:spacing w:before="0" w:after="100" w:line="300" w:lineRule="auto"/>
        <w:jc w:val="both"/>
      </w:pPr>
      <w:r>
        <w:rPr>
          <w:rFonts w:ascii="Times New Roman" w:hAnsi="Times New Roman" w:eastAsia="Times New Roman" w:cs="Times New Roman"/>
          <w:b w:val="0"/>
          <w:i w:val="0"/>
          <w:caps w:val="0"/>
          <w:color w:val="000000"/>
          <w:sz w:val="26"/>
        </w:rPr>
        <w:t>Các nội dung dưới đây được nhập vào webform E-BDL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000"/>
        <w:gridCol w:w="7600"/>
      </w:tblGrid>
      <w:tr>
        <w:tc>
          <w:tcPr>
            <w:tcW w:type="dxa" w:w="2000"/>
          </w:tcPr>
          <w:p>
            <w:pPr>
              <w:spacing w:before="0" w:after="60"/>
              <w:jc w:val="left"/>
            </w:pPr>
            <w:r>
              <w:rPr>
                <w:rFonts w:ascii="Times New Roman" w:hAnsi="Times New Roman" w:eastAsia="Times New Roman" w:cs="Times New Roman"/>
                <w:b w:val="0"/>
                <w:i w:val="0"/>
                <w:caps w:val="0"/>
                <w:color w:val="000000"/>
                <w:sz w:val="26"/>
              </w:rPr>
              <w:t>E-CDNT 1.1</w:t>
            </w:r>
          </w:p>
        </w:tc>
        <w:tc>
          <w:tcPr>
            <w:tcW w:type="dxa" w:w="7600"/>
          </w:tcPr>
          <w:p>
            <w:pPr>
              <w:spacing w:before="0" w:after="60"/>
              <w:jc w:val="left"/>
            </w:pPr>
            <w:r>
              <w:rPr>
                <w:rFonts w:ascii="Times New Roman" w:hAnsi="Times New Roman" w:eastAsia="Times New Roman" w:cs="Times New Roman"/>
                <w:b w:val="0"/>
                <w:i w:val="0"/>
                <w:caps w:val="0"/>
                <w:color w:val="000000"/>
                <w:sz w:val="26"/>
              </w:rPr>
              <w:t>Tên Chủ đầu tư: Công ty Cổ phần ABC Wear.</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1.2</w:t>
            </w:r>
          </w:p>
        </w:tc>
        <w:tc>
          <w:tcPr>
            <w:tcW w:type="dxa" w:w="7600"/>
          </w:tcPr>
          <w:p>
            <w:pPr>
              <w:spacing w:before="0" w:after="60"/>
              <w:jc w:val="left"/>
            </w:pPr>
            <w:r>
              <w:rPr>
                <w:rFonts w:ascii="Times New Roman" w:hAnsi="Times New Roman" w:eastAsia="Times New Roman" w:cs="Times New Roman"/>
                <w:b w:val="0"/>
                <w:i w:val="0"/>
                <w:caps w:val="0"/>
                <w:color w:val="000000"/>
                <w:sz w:val="26"/>
              </w:rPr>
              <w:t>Tên gói thầu: Dịch vụ xây dựng và triển khai hệ thống website bán hàng trực tuyến (Web Selling Site System).</w:t>
            </w:r>
          </w:p>
          <w:p>
            <w:pPr>
              <w:spacing w:before="0" w:after="60"/>
              <w:jc w:val="left"/>
            </w:pPr>
            <w:r>
              <w:rPr>
                <w:rFonts w:ascii="Times New Roman" w:hAnsi="Times New Roman" w:eastAsia="Times New Roman" w:cs="Times New Roman"/>
                <w:b w:val="0"/>
                <w:i w:val="0"/>
                <w:caps w:val="0"/>
                <w:color w:val="000000"/>
                <w:sz w:val="26"/>
              </w:rPr>
              <w:t>Tên dự án: Phát triển kênh bán hàng trực tuyến của Công ty Cổ phần ABC Wear.</w:t>
            </w:r>
          </w:p>
          <w:p>
            <w:pPr>
              <w:spacing w:before="0" w:after="60"/>
              <w:jc w:val="left"/>
            </w:pPr>
            <w:r>
              <w:rPr>
                <w:rFonts w:ascii="Times New Roman" w:hAnsi="Times New Roman" w:eastAsia="Times New Roman" w:cs="Times New Roman"/>
                <w:b w:val="0"/>
                <w:i w:val="0"/>
                <w:caps w:val="0"/>
                <w:color w:val="000000"/>
                <w:sz w:val="26"/>
              </w:rPr>
              <w:t>Số lượng, số hiệu các phần thuộc gói thầu: gói thầu không chia phần.</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w:t>
            </w:r>
          </w:p>
        </w:tc>
        <w:tc>
          <w:tcPr>
            <w:tcW w:type="dxa" w:w="7600"/>
          </w:tcPr>
          <w:p>
            <w:pPr>
              <w:spacing w:before="0" w:after="60"/>
              <w:jc w:val="left"/>
            </w:pPr>
            <w:r>
              <w:rPr>
                <w:rFonts w:ascii="Times New Roman" w:hAnsi="Times New Roman" w:eastAsia="Times New Roman" w:cs="Times New Roman"/>
                <w:b w:val="0"/>
                <w:i w:val="0"/>
                <w:caps w:val="0"/>
                <w:color w:val="000000"/>
                <w:sz w:val="26"/>
              </w:rPr>
              <w:t>Nguồn vốn: vốn tự có, vốn chủ sở hữu của Công ty Cổ phần ABC Wear.</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5.1 (c)</w:t>
            </w:r>
          </w:p>
        </w:tc>
        <w:tc>
          <w:tcPr>
            <w:tcW w:type="dxa" w:w="7600"/>
          </w:tcPr>
          <w:p>
            <w:pPr>
              <w:spacing w:before="0" w:after="60"/>
              <w:jc w:val="left"/>
            </w:pPr>
            <w:r>
              <w:rPr>
                <w:rFonts w:ascii="Times New Roman" w:hAnsi="Times New Roman" w:eastAsia="Times New Roman" w:cs="Times New Roman"/>
                <w:b w:val="0"/>
                <w:i w:val="0"/>
                <w:caps w:val="0"/>
                <w:color w:val="000000"/>
                <w:sz w:val="26"/>
              </w:rPr>
              <w:t>Bảo đảm cạnh tranh trong đấu thầu theo quy định như sau: Nhà thầu tham dự thầu không có cổ phần hoặc vốn góp trên 30% với: Công ty Cổ phần ABC Wear, Số 10 phố Giả Định, phường Cầu Giấy, thành phố Hà Nội.</w:t>
            </w:r>
          </w:p>
          <w:p>
            <w:pPr>
              <w:spacing w:before="0" w:after="60"/>
              <w:jc w:val="left"/>
            </w:pPr>
            <w:r>
              <w:rPr>
                <w:rFonts w:ascii="Times New Roman" w:hAnsi="Times New Roman" w:eastAsia="Times New Roman" w:cs="Times New Roman"/>
                <w:b w:val="0"/>
                <w:i w:val="0"/>
                <w:caps w:val="0"/>
                <w:color w:val="000000"/>
                <w:sz w:val="26"/>
              </w:rPr>
              <w:t>+ Trường hợp nhà thầu, chủ đầu tư là công ty mẹ, công ty con, công ty thành viên trong tập đoàn kinh tế nhà nước, tổng công ty nhà nước, nhà thầu được tham dự gói thầu của chủ đầu tư nếu sản phẩm, dịch vụ thuộc gói thầu đó thuộc ngành, nghề sản xuất, kinh doanh chính của tập đoàn kinh tế nhà nước, tổng công ty nhà nước.</w:t>
            </w:r>
          </w:p>
          <w:p>
            <w:pPr>
              <w:spacing w:before="0" w:after="60"/>
              <w:jc w:val="left"/>
            </w:pPr>
            <w:r>
              <w:rPr>
                <w:rFonts w:ascii="Times New Roman" w:hAnsi="Times New Roman" w:eastAsia="Times New Roman" w:cs="Times New Roman"/>
                <w:b w:val="0"/>
                <w:i w:val="0"/>
                <w:caps w:val="0"/>
                <w:color w:val="000000"/>
                <w:sz w:val="26"/>
              </w:rPr>
              <w:t>+ Trường hợp nhà thầu là đơn vị sự nghiệp công lập, nhà thầu tham dự thầu không cùng thuộc một cơ quan hoặc tổ chức trực tiếp quản lý với Chủ đầu tư, trừ trường hợp: nhà thầu là đơn vị sự nghiệp công lập thuộc cơ quan quản lý nhà nước có chức năng, nhiệm vụ được giao phù hợp với tính chất gói thầu của cơ quan quản lý nhà nước đó; các đơn vị sự nghiệp công lập có cùng một cơ quan trực tiếp quản lý.</w:t>
            </w:r>
          </w:p>
          <w:p>
            <w:pPr>
              <w:spacing w:before="0" w:after="60"/>
              <w:jc w:val="left"/>
            </w:pPr>
            <w:r>
              <w:rPr>
                <w:rFonts w:ascii="Times New Roman" w:hAnsi="Times New Roman" w:eastAsia="Times New Roman" w:cs="Times New Roman"/>
                <w:b w:val="0"/>
                <w:i w:val="0"/>
                <w:caps w:val="0"/>
                <w:color w:val="000000"/>
                <w:sz w:val="26"/>
              </w:rPr>
              <w:t>+ 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w:t>
            </w:r>
          </w:p>
          <w:p>
            <w:pPr>
              <w:spacing w:before="0" w:after="60"/>
              <w:jc w:val="left"/>
            </w:pPr>
            <w:r>
              <w:rPr>
                <w:rFonts w:ascii="Times New Roman" w:hAnsi="Times New Roman" w:eastAsia="Times New Roman" w:cs="Times New Roman"/>
                <w:b w:val="0"/>
                <w:i w:val="0"/>
                <w:caps w:val="0"/>
                <w:color w:val="000000"/>
                <w:sz w:val="26"/>
              </w:rPr>
              <w:t>- Nhà thầu tham dự thầu không có cổ phần hoặc vốn góp với các nhà thầu tư vấn; không cùng có cổ phần hoặc vốn góp trên 20% của một tổ chức, cá nhân khác với từng bên, cụ thể như sau:</w:t>
            </w:r>
          </w:p>
          <w:p>
            <w:pPr>
              <w:spacing w:before="0" w:after="60"/>
              <w:jc w:val="left"/>
            </w:pPr>
            <w:r>
              <w:rPr>
                <w:rFonts w:ascii="Times New Roman" w:hAnsi="Times New Roman" w:eastAsia="Times New Roman" w:cs="Times New Roman"/>
                <w:b w:val="0"/>
                <w:i w:val="0"/>
                <w:caps w:val="0"/>
                <w:color w:val="000000"/>
                <w:sz w:val="26"/>
              </w:rPr>
              <w:t>+ Tư vấn lập thiết kế kỹ thuật, thiết kế bản vẽ thi công, dự toán: không có.</w:t>
            </w:r>
          </w:p>
          <w:p>
            <w:pPr>
              <w:spacing w:before="0" w:after="60"/>
              <w:jc w:val="left"/>
            </w:pPr>
            <w:r>
              <w:rPr>
                <w:rFonts w:ascii="Times New Roman" w:hAnsi="Times New Roman" w:eastAsia="Times New Roman" w:cs="Times New Roman"/>
                <w:b w:val="0"/>
                <w:i w:val="0"/>
                <w:caps w:val="0"/>
                <w:color w:val="000000"/>
                <w:sz w:val="26"/>
              </w:rPr>
              <w:t>+ Tư vấn thẩm tra thiết kế kỹ thuật, thiết kế bản vẽ thi công, dự toán: không có.</w:t>
            </w:r>
          </w:p>
          <w:p>
            <w:pPr>
              <w:spacing w:before="0" w:after="60"/>
              <w:jc w:val="left"/>
            </w:pPr>
            <w:r>
              <w:rPr>
                <w:rFonts w:ascii="Times New Roman" w:hAnsi="Times New Roman" w:eastAsia="Times New Roman" w:cs="Times New Roman"/>
                <w:b w:val="0"/>
                <w:i w:val="0"/>
                <w:caps w:val="0"/>
                <w:color w:val="000000"/>
                <w:sz w:val="26"/>
              </w:rPr>
              <w:t>+ Tư vấn thẩm định giá: không có.</w:t>
            </w:r>
          </w:p>
          <w:p>
            <w:pPr>
              <w:spacing w:before="0" w:after="60"/>
              <w:jc w:val="left"/>
            </w:pPr>
            <w:r>
              <w:rPr>
                <w:rFonts w:ascii="Times New Roman" w:hAnsi="Times New Roman" w:eastAsia="Times New Roman" w:cs="Times New Roman"/>
                <w:b w:val="0"/>
                <w:i w:val="0"/>
                <w:caps w:val="0"/>
                <w:color w:val="000000"/>
                <w:sz w:val="26"/>
              </w:rPr>
              <w:t>+ Tư vấn giám sát thực hiện hợp đồng, kiểm định: không có.</w:t>
            </w:r>
          </w:p>
          <w:p>
            <w:pPr>
              <w:spacing w:before="0" w:after="60"/>
              <w:jc w:val="left"/>
            </w:pPr>
            <w:r>
              <w:rPr>
                <w:rFonts w:ascii="Times New Roman" w:hAnsi="Times New Roman" w:eastAsia="Times New Roman" w:cs="Times New Roman"/>
                <w:b w:val="0"/>
                <w:i w:val="0"/>
                <w:caps w:val="0"/>
                <w:color w:val="000000"/>
                <w:sz w:val="26"/>
              </w:rPr>
              <w:t>+ Tư vấn lập E-HSMT: không có.</w:t>
            </w:r>
          </w:p>
          <w:p>
            <w:pPr>
              <w:spacing w:before="0" w:after="60"/>
              <w:jc w:val="left"/>
            </w:pPr>
            <w:r>
              <w:rPr>
                <w:rFonts w:ascii="Times New Roman" w:hAnsi="Times New Roman" w:eastAsia="Times New Roman" w:cs="Times New Roman"/>
                <w:b w:val="0"/>
                <w:i w:val="0"/>
                <w:caps w:val="0"/>
                <w:color w:val="000000"/>
                <w:sz w:val="26"/>
              </w:rPr>
              <w:t>+ Tư vấn thẩm định E-HSMT: không có.</w:t>
            </w:r>
          </w:p>
          <w:p>
            <w:pPr>
              <w:spacing w:before="0" w:after="60"/>
              <w:jc w:val="left"/>
            </w:pPr>
            <w:r>
              <w:rPr>
                <w:rFonts w:ascii="Times New Roman" w:hAnsi="Times New Roman" w:eastAsia="Times New Roman" w:cs="Times New Roman"/>
                <w:b w:val="0"/>
                <w:i w:val="0"/>
                <w:caps w:val="0"/>
                <w:color w:val="000000"/>
                <w:sz w:val="26"/>
              </w:rPr>
              <w:t>+ Tư vấn đánh giá E-HSDT: không có.</w:t>
            </w:r>
          </w:p>
          <w:p>
            <w:pPr>
              <w:spacing w:before="0" w:after="60"/>
              <w:jc w:val="left"/>
            </w:pPr>
            <w:r>
              <w:rPr>
                <w:rFonts w:ascii="Times New Roman" w:hAnsi="Times New Roman" w:eastAsia="Times New Roman" w:cs="Times New Roman"/>
                <w:b w:val="0"/>
                <w:i w:val="0"/>
                <w:caps w:val="0"/>
                <w:color w:val="000000"/>
                <w:sz w:val="26"/>
              </w:rPr>
              <w:t>+ Tư vấn thẩm định kết quả lựa chọn nhà thầu: không có.</w:t>
            </w:r>
          </w:p>
          <w:p>
            <w:pPr>
              <w:spacing w:before="0" w:after="60"/>
              <w:jc w:val="left"/>
            </w:pPr>
            <w:r>
              <w:rPr>
                <w:rFonts w:ascii="Times New Roman" w:hAnsi="Times New Roman" w:eastAsia="Times New Roman" w:cs="Times New Roman"/>
                <w:b w:val="0"/>
                <w:i w:val="0"/>
                <w:caps w:val="0"/>
                <w:color w:val="000000"/>
                <w:sz w:val="26"/>
              </w:rPr>
              <w:t>+ Tư vấn quản lý dự án, quản lý hợp đồng, tư vấn khác mà các dịch vụ tư vấn này có phần công việc liên quan trực tiếp tới gói thầu: không có.</w:t>
            </w:r>
          </w:p>
          <w:p>
            <w:pPr>
              <w:spacing w:before="0" w:after="60"/>
              <w:jc w:val="left"/>
            </w:pPr>
            <w:r>
              <w:rPr>
                <w:rFonts w:ascii="Times New Roman" w:hAnsi="Times New Roman" w:eastAsia="Times New Roman" w:cs="Times New Roman"/>
                <w:b w:val="0"/>
                <w:i w:val="0"/>
                <w:caps w:val="0"/>
                <w:color w:val="000000"/>
                <w:sz w:val="26"/>
              </w:rPr>
              <w:t>Nhà thầu tham dự thầu không cùng thuộc một cơ quan hoặc tổ chức trực tiếp quản lý với nhà thầu tư vấn (đã nêu trên).</w:t>
            </w:r>
          </w:p>
          <w:p>
            <w:pPr>
              <w:spacing w:before="0" w:after="60"/>
              <w:jc w:val="left"/>
            </w:pPr>
            <w:r>
              <w:rPr>
                <w:rFonts w:ascii="Times New Roman" w:hAnsi="Times New Roman" w:eastAsia="Times New Roman" w:cs="Times New Roman"/>
                <w:b w:val="0"/>
                <w:i w:val="0"/>
                <w:caps w:val="0"/>
                <w:color w:val="000000"/>
                <w:sz w:val="26"/>
              </w:rPr>
              <w:t>Tỷ lệ cổ phần, vốn góp giữa các bên được xác định tại thời điểm đóng thầu và theo tỷ lệ ghi trong giấy chứng nhận đăng ký doanh nghiệp, quyết định thành lập, các giấy tờ khác có giá trị tương đương.</w:t>
            </w:r>
          </w:p>
          <w:p>
            <w:pPr>
              <w:spacing w:before="0" w:after="60"/>
              <w:jc w:val="left"/>
            </w:pPr>
            <w:r>
              <w:rPr>
                <w:rFonts w:ascii="Times New Roman" w:hAnsi="Times New Roman" w:eastAsia="Times New Roman" w:cs="Times New Roman"/>
                <w:b w:val="0"/>
                <w:i w:val="0"/>
                <w:caps w:val="0"/>
                <w:color w:val="000000"/>
                <w:sz w:val="26"/>
              </w:rPr>
              <w:t>Trường hợp nhà thầu tham dự thầu với tư cách liên danh hoặc nhà thầu tư vấn được lựa chọn với tư cách liên danh, tỷ lệ sở hữu vốn của tổ chức, cá nhân khác trong liên danh được xác định theo công thức sau:</w:t>
            </w:r>
          </w:p>
          <w:p>
            <w:pPr>
              <w:spacing w:before="0" w:after="60"/>
              <w:jc w:val="left"/>
            </w:pPr>
            <w:r>
              <w:rPr>
                <w:rFonts w:ascii="Times New Roman" w:hAnsi="Times New Roman" w:eastAsia="Times New Roman" w:cs="Times New Roman"/>
                <w:b w:val="0"/>
                <w:i w:val="0"/>
                <w:caps w:val="0"/>
                <w:color w:val="000000"/>
                <w:sz w:val="26"/>
              </w:rPr>
              <w:t>Tỷ lệ sở hữu vốn = X1 x Y1 + X2 x Y2 + ... + Xn x Yn</w:t>
            </w:r>
          </w:p>
          <w:p>
            <w:pPr>
              <w:spacing w:before="0" w:after="60"/>
              <w:jc w:val="left"/>
            </w:pPr>
            <w:r>
              <w:rPr>
                <w:rFonts w:ascii="Times New Roman" w:hAnsi="Times New Roman" w:eastAsia="Times New Roman" w:cs="Times New Roman"/>
                <w:b w:val="0"/>
                <w:i w:val="0"/>
                <w:caps w:val="0"/>
                <w:color w:val="000000"/>
                <w:sz w:val="26"/>
              </w:rPr>
              <w:t>Trong đó:</w:t>
            </w:r>
          </w:p>
          <w:p>
            <w:pPr>
              <w:spacing w:before="0" w:after="60"/>
              <w:jc w:val="left"/>
            </w:pPr>
            <w:r>
              <w:rPr>
                <w:rFonts w:ascii="Times New Roman" w:hAnsi="Times New Roman" w:eastAsia="Times New Roman" w:cs="Times New Roman"/>
                <w:b w:val="0"/>
                <w:i w:val="0"/>
                <w:caps w:val="0"/>
                <w:color w:val="000000"/>
                <w:sz w:val="26"/>
              </w:rPr>
              <w:t>Xi: Tỷ lệ sở hữu vốn của tổ chức, cá nhân khác trong thành viên liên danh thứ i.</w:t>
            </w:r>
          </w:p>
          <w:p>
            <w:pPr>
              <w:spacing w:before="0" w:after="60"/>
              <w:jc w:val="left"/>
            </w:pPr>
            <w:r>
              <w:rPr>
                <w:rFonts w:ascii="Times New Roman" w:hAnsi="Times New Roman" w:eastAsia="Times New Roman" w:cs="Times New Roman"/>
                <w:b w:val="0"/>
                <w:i w:val="0"/>
                <w:caps w:val="0"/>
                <w:color w:val="000000"/>
                <w:sz w:val="26"/>
              </w:rPr>
              <w:t>Yi: Tỷ lệ phần trăm (%) khối lượng công việc của thành viên liên danh thứ i trong thỏa thuận liên danh.</w:t>
            </w:r>
          </w:p>
          <w:p>
            <w:pPr>
              <w:spacing w:before="0" w:after="60"/>
              <w:jc w:val="left"/>
            </w:pPr>
            <w:r>
              <w:rPr>
                <w:rFonts w:ascii="Times New Roman" w:hAnsi="Times New Roman" w:eastAsia="Times New Roman" w:cs="Times New Roman"/>
                <w:b w:val="0"/>
                <w:i w:val="0"/>
                <w:caps w:val="0"/>
                <w:color w:val="000000"/>
                <w:sz w:val="26"/>
              </w:rPr>
              <w:t>n: Số thành viên tham gia trong liên danh.</w:t>
            </w:r>
          </w:p>
          <w:p>
            <w:pPr>
              <w:spacing w:before="0" w:after="60"/>
              <w:jc w:val="left"/>
            </w:pPr>
            <w:r>
              <w:rPr>
                <w:rFonts w:ascii="Times New Roman" w:hAnsi="Times New Roman" w:eastAsia="Times New Roman" w:cs="Times New Roman"/>
                <w:b w:val="0"/>
                <w:i w:val="0"/>
                <w:caps w:val="0"/>
                <w:color w:val="000000"/>
                <w:sz w:val="26"/>
              </w:rPr>
              <w:t>- Nhà thầu trong nước thuộc trường hợp quy định tại điểm g khoản 1 Điều 10 của Luật Đấu thầu khi chào thầu dịch vụ do nhà thầu đó cung cấp không phải đáp ứng quy định về bảo đảm cạnh tranh quy định tại Mục này.</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7.5</w:t>
            </w:r>
          </w:p>
        </w:tc>
        <w:tc>
          <w:tcPr>
            <w:tcW w:type="dxa" w:w="7600"/>
          </w:tcPr>
          <w:p>
            <w:pPr>
              <w:spacing w:before="0" w:after="60"/>
              <w:jc w:val="left"/>
            </w:pPr>
            <w:r>
              <w:rPr>
                <w:rFonts w:ascii="Times New Roman" w:hAnsi="Times New Roman" w:eastAsia="Times New Roman" w:cs="Times New Roman"/>
                <w:b w:val="0"/>
                <w:i w:val="0"/>
                <w:caps w:val="0"/>
                <w:color w:val="000000"/>
                <w:sz w:val="26"/>
              </w:rPr>
              <w:t>Hội nghị tiền đấu thầu: Có. Thời gian: 9 giờ 00, ngày 01/03/2027. Địa điểm: phòng họp A, trụ sở chính Công ty Cổ phần ABC Wear, Số 10 phố Giả Định, phường Cầu Giấy, thành phố Hà Nội. Người chịu trách nhiệm tổ chức: Yamada, Phòng Kế hoạch, điện thoại 024 0000 1010, email yamada@abc.com.</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8</w:t>
            </w:r>
          </w:p>
        </w:tc>
        <w:tc>
          <w:tcPr>
            <w:tcW w:type="dxa" w:w="7600"/>
          </w:tcPr>
          <w:p>
            <w:pPr>
              <w:spacing w:before="0" w:after="60"/>
              <w:jc w:val="left"/>
            </w:pPr>
            <w:r>
              <w:rPr>
                <w:rFonts w:ascii="Times New Roman" w:hAnsi="Times New Roman" w:eastAsia="Times New Roman" w:cs="Times New Roman"/>
                <w:b w:val="0"/>
                <w:i w:val="0"/>
                <w:caps w:val="0"/>
                <w:color w:val="000000"/>
                <w:sz w:val="26"/>
              </w:rPr>
              <w:t>Chi phí nộp E-HSDT: theo quy định hiện hành, do Hệ thống trích xuất.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10.8</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phải nộp cùng với E-HSDT các tài liệu sau đây: không yêu cầu.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12.1</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không được phép nộp đề xuất phương án kỹ thuật thay thế.</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17.1</w:t>
            </w:r>
          </w:p>
        </w:tc>
        <w:tc>
          <w:tcPr>
            <w:tcW w:type="dxa" w:w="7600"/>
          </w:tcPr>
          <w:p>
            <w:pPr>
              <w:spacing w:before="0" w:after="60"/>
              <w:jc w:val="left"/>
            </w:pPr>
            <w:r>
              <w:rPr>
                <w:rFonts w:ascii="Times New Roman" w:hAnsi="Times New Roman" w:eastAsia="Times New Roman" w:cs="Times New Roman"/>
                <w:b w:val="0"/>
                <w:i w:val="0"/>
                <w:caps w:val="0"/>
                <w:color w:val="000000"/>
                <w:sz w:val="26"/>
              </w:rPr>
              <w:t>Thời hạn hiệu lực của E-HSDT là: ≥ 90 ngày, kể từ ngày có thời điểm đóng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18.2</w:t>
            </w:r>
          </w:p>
        </w:tc>
        <w:tc>
          <w:tcPr>
            <w:tcW w:type="dxa" w:w="7600"/>
          </w:tcPr>
          <w:p>
            <w:pPr>
              <w:spacing w:before="0" w:after="60"/>
              <w:jc w:val="left"/>
            </w:pPr>
            <w:r>
              <w:rPr>
                <w:rFonts w:ascii="Times New Roman" w:hAnsi="Times New Roman" w:eastAsia="Times New Roman" w:cs="Times New Roman"/>
                <w:b w:val="0"/>
                <w:i w:val="0"/>
                <w:caps w:val="0"/>
                <w:color w:val="000000"/>
                <w:sz w:val="26"/>
              </w:rPr>
              <w:t>Nội dung bảo đảm dự thầu:</w:t>
            </w:r>
          </w:p>
          <w:p>
            <w:pPr>
              <w:spacing w:before="0" w:after="60"/>
              <w:jc w:val="left"/>
            </w:pPr>
            <w:r>
              <w:rPr>
                <w:rFonts w:ascii="Times New Roman" w:hAnsi="Times New Roman" w:eastAsia="Times New Roman" w:cs="Times New Roman"/>
                <w:b w:val="0"/>
                <w:i w:val="0"/>
                <w:caps w:val="0"/>
                <w:color w:val="000000"/>
                <w:sz w:val="26"/>
              </w:rPr>
              <w:t>- Giá trị bảo đảm dự thầu: 30.000.000 đồng. Do giá trị bảo đảm dự thầu nhỏ hơn 50 triệu đồng, nhà thầu thực hiện cam kết trong đơn dự thầu theo quy định tại Mục 18.8 E-CDNT. Đối với nhà thầu có tên trong danh sách nhà thầu có các hành vi quy định tại khoản 1 Điều 20 của Nghị định số 214/2025/NĐ-CP 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 Trường hợp nhà thầu liên danh, thành viên liên danh có các hành vi quy định tại khoản 1 Điều 20 của Nghị định số 214/2025/NĐ-CP như nêu trên phải thực hiện biện pháp bảo đảm dự thầu với giá trị gấp 03 lần giá trị bảo đảm dự thầu tương ứng với tỷ lệ giá trị công việc thành viên đó đảm nhận trong liên danh trong thời hạn 02 năm kể từ lần cuối cùng thực hiện hành vi này.</w:t>
            </w:r>
          </w:p>
          <w:p>
            <w:pPr>
              <w:spacing w:before="0" w:after="60"/>
              <w:jc w:val="left"/>
            </w:pPr>
            <w:r>
              <w:rPr>
                <w:rFonts w:ascii="Times New Roman" w:hAnsi="Times New Roman" w:eastAsia="Times New Roman" w:cs="Times New Roman"/>
                <w:b w:val="0"/>
                <w:i w:val="0"/>
                <w:caps w:val="0"/>
                <w:color w:val="000000"/>
                <w:sz w:val="26"/>
              </w:rPr>
              <w:t>- Thời gian có hiệu lực của bảo đảm dự thầu: ≥ 120 ngày, kể từ ngày có thời điểm đóng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18.4</w:t>
            </w:r>
          </w:p>
        </w:tc>
        <w:tc>
          <w:tcPr>
            <w:tcW w:type="dxa" w:w="7600"/>
          </w:tcPr>
          <w:p>
            <w:pPr>
              <w:spacing w:before="0" w:after="60"/>
              <w:jc w:val="left"/>
            </w:pPr>
            <w:r>
              <w:rPr>
                <w:rFonts w:ascii="Times New Roman" w:hAnsi="Times New Roman" w:eastAsia="Times New Roman" w:cs="Times New Roman"/>
                <w:b w:val="0"/>
                <w:i w:val="0"/>
                <w:caps w:val="0"/>
                <w:color w:val="000000"/>
                <w:sz w:val="26"/>
              </w:rPr>
              <w:t>Thời gian hoàn trả hoặc giải tỏa bảo đảm dự thầu đối với nhà thầu không được lựa chọn: 14 ngày, kể từ ngày kết quả lựa chọn nhà thầu được phê duyệt.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18.9</w:t>
            </w:r>
          </w:p>
        </w:tc>
        <w:tc>
          <w:tcPr>
            <w:tcW w:type="dxa" w:w="7600"/>
          </w:tcPr>
          <w:p>
            <w:pPr>
              <w:spacing w:before="0" w:after="60"/>
              <w:jc w:val="left"/>
            </w:pPr>
            <w:r>
              <w:rPr>
                <w:rFonts w:ascii="Times New Roman" w:hAnsi="Times New Roman" w:eastAsia="Times New Roman" w:cs="Times New Roman"/>
                <w:b w:val="0"/>
                <w:i w:val="0"/>
                <w:caps w:val="0"/>
                <w:color w:val="000000"/>
                <w:sz w:val="26"/>
              </w:rPr>
              <w:t>Bảo đảm dự thầu: không áp dụng.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27.2</w:t>
            </w:r>
          </w:p>
        </w:tc>
        <w:tc>
          <w:tcPr>
            <w:tcW w:type="dxa" w:w="7600"/>
          </w:tcPr>
          <w:p>
            <w:pPr>
              <w:spacing w:before="0" w:after="60"/>
              <w:jc w:val="left"/>
            </w:pPr>
            <w:r>
              <w:rPr>
                <w:rFonts w:ascii="Times New Roman" w:hAnsi="Times New Roman" w:eastAsia="Times New Roman" w:cs="Times New Roman"/>
                <w:b w:val="0"/>
                <w:i w:val="0"/>
                <w:caps w:val="0"/>
                <w:color w:val="000000"/>
                <w:sz w:val="26"/>
              </w:rPr>
              <w:t>Giá trị tối đa dành cho nhà thầu phụ: 40% giá dự thầu của nhà thầu. Việc kê khai sử dụng nhà thầu phụ thực hiện theo Mẫu số 09A Chương IV.</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28.2</w:t>
            </w:r>
          </w:p>
        </w:tc>
        <w:tc>
          <w:tcPr>
            <w:tcW w:type="dxa" w:w="7600"/>
          </w:tcPr>
          <w:p>
            <w:pPr>
              <w:spacing w:before="0" w:after="60"/>
              <w:jc w:val="left"/>
            </w:pPr>
            <w:r>
              <w:rPr>
                <w:rFonts w:ascii="Times New Roman" w:hAnsi="Times New Roman" w:eastAsia="Times New Roman" w:cs="Times New Roman"/>
                <w:b w:val="0"/>
                <w:i w:val="0"/>
                <w:caps w:val="0"/>
                <w:color w:val="000000"/>
                <w:sz w:val="26"/>
              </w:rPr>
              <w:t>Cách tính ưu đãi: sản phẩm đổi mới sáng tạo quy định tại khoản 4 Điều 6 của Nghị định số 214/2025/NĐ-CP là dịch vụ phi tư vấn của doanh nghiệp khởi nghiệp sáng tạo trong nước được hưởng ưu đãi như sau:</w:t>
            </w:r>
          </w:p>
          <w:p>
            <w:pPr>
              <w:spacing w:before="0" w:after="60"/>
              <w:jc w:val="left"/>
            </w:pPr>
            <w:r>
              <w:rPr>
                <w:rFonts w:ascii="Times New Roman" w:hAnsi="Times New Roman" w:eastAsia="Times New Roman" w:cs="Times New Roman"/>
                <w:b w:val="0"/>
                <w:i w:val="0"/>
                <w:caps w:val="0"/>
                <w:color w:val="000000"/>
                <w:sz w:val="26"/>
              </w:rPr>
              <w:t>Nhà thầu không thuộc đối tượng được hưởng ưu đãi phải cộng thêm một khoản tiền bằng 7,5% giá dự thầu trừ đi giá trị giảm giá (nếu có) vào giá dự thầu trừ đi giá trị giảm giá (nếu có) của nhà thầu đó để so sánh, xếp hạng.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28.8</w:t>
            </w:r>
          </w:p>
        </w:tc>
        <w:tc>
          <w:tcPr>
            <w:tcW w:type="dxa" w:w="7600"/>
          </w:tcPr>
          <w:p>
            <w:pPr>
              <w:spacing w:before="0" w:after="60"/>
              <w:jc w:val="left"/>
            </w:pPr>
            <w:r>
              <w:rPr>
                <w:rFonts w:ascii="Times New Roman" w:hAnsi="Times New Roman" w:eastAsia="Times New Roman" w:cs="Times New Roman"/>
                <w:b w:val="0"/>
                <w:i w:val="0"/>
                <w:caps w:val="0"/>
                <w:color w:val="000000"/>
                <w:sz w:val="26"/>
              </w:rPr>
              <w:t>Các ưu đãi khác: không có.</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29.1</w:t>
            </w:r>
          </w:p>
        </w:tc>
        <w:tc>
          <w:tcPr>
            <w:tcW w:type="dxa" w:w="7600"/>
          </w:tcPr>
          <w:p>
            <w:pPr>
              <w:spacing w:before="0" w:after="60"/>
              <w:jc w:val="left"/>
            </w:pPr>
            <w:r>
              <w:rPr>
                <w:rFonts w:ascii="Times New Roman" w:hAnsi="Times New Roman" w:eastAsia="Times New Roman" w:cs="Times New Roman"/>
                <w:b w:val="0"/>
                <w:i w:val="0"/>
                <w:caps w:val="0"/>
                <w:color w:val="000000"/>
                <w:sz w:val="26"/>
              </w:rPr>
              <w:t>Phương pháp đánh giá E-HSDT là:</w:t>
            </w:r>
          </w:p>
          <w:p>
            <w:pPr>
              <w:spacing w:before="0" w:after="60"/>
              <w:jc w:val="left"/>
            </w:pPr>
            <w:r>
              <w:rPr>
                <w:rFonts w:ascii="Times New Roman" w:hAnsi="Times New Roman" w:eastAsia="Times New Roman" w:cs="Times New Roman"/>
                <w:b w:val="0"/>
                <w:i w:val="0"/>
                <w:caps w:val="0"/>
                <w:color w:val="000000"/>
                <w:sz w:val="26"/>
              </w:rPr>
              <w:t>- Đánh giá về năng lực và kinh nghiệm: Đạt/Không đạt.</w:t>
            </w:r>
          </w:p>
          <w:p>
            <w:pPr>
              <w:spacing w:before="0" w:after="60"/>
              <w:jc w:val="left"/>
            </w:pPr>
            <w:r>
              <w:rPr>
                <w:rFonts w:ascii="Times New Roman" w:hAnsi="Times New Roman" w:eastAsia="Times New Roman" w:cs="Times New Roman"/>
                <w:b w:val="0"/>
                <w:i w:val="0"/>
                <w:caps w:val="0"/>
                <w:color w:val="000000"/>
                <w:sz w:val="26"/>
              </w:rPr>
              <w:t>- Đánh giá về kỹ thuật: chấm điểm, theo Mục 3 Chương III.</w:t>
            </w:r>
          </w:p>
          <w:p>
            <w:pPr>
              <w:spacing w:before="0" w:after="60"/>
              <w:jc w:val="left"/>
            </w:pPr>
            <w:r>
              <w:rPr>
                <w:rFonts w:ascii="Times New Roman" w:hAnsi="Times New Roman" w:eastAsia="Times New Roman" w:cs="Times New Roman"/>
                <w:b w:val="0"/>
                <w:i w:val="0"/>
                <w:caps w:val="0"/>
                <w:color w:val="000000"/>
                <w:sz w:val="26"/>
              </w:rPr>
              <w:t>- Đánh giá về tài chính: phương pháp giá thấp nhất, theo Mục 4 Chương III.</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29.3 (đ)</w:t>
            </w:r>
          </w:p>
        </w:tc>
        <w:tc>
          <w:tcPr>
            <w:tcW w:type="dxa" w:w="7600"/>
          </w:tcPr>
          <w:p>
            <w:pPr>
              <w:spacing w:before="0" w:after="60"/>
              <w:jc w:val="left"/>
            </w:pPr>
            <w:r>
              <w:rPr>
                <w:rFonts w:ascii="Times New Roman" w:hAnsi="Times New Roman" w:eastAsia="Times New Roman" w:cs="Times New Roman"/>
                <w:b w:val="0"/>
                <w:i w:val="0"/>
                <w:caps w:val="0"/>
                <w:color w:val="000000"/>
                <w:sz w:val="26"/>
              </w:rPr>
              <w:t>Xếp hạng nhà thầu: nhà thầu có giá dự thầu sau khi trừ đi giá trị giảm giá (nếu có) thấp nhất được xếp hạng thứ nhất.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31.4</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có giá dự thầu sau khi trừ đi giá trị giảm giá (nếu có) thấp nhất.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31.5</w:t>
            </w:r>
          </w:p>
        </w:tc>
        <w:tc>
          <w:tcPr>
            <w:tcW w:type="dxa" w:w="7600"/>
          </w:tcPr>
          <w:p>
            <w:pPr>
              <w:spacing w:before="0" w:after="60"/>
              <w:jc w:val="left"/>
            </w:pPr>
            <w:r>
              <w:rPr>
                <w:rFonts w:ascii="Times New Roman" w:hAnsi="Times New Roman" w:eastAsia="Times New Roman" w:cs="Times New Roman"/>
                <w:b w:val="0"/>
                <w:i w:val="0"/>
                <w:caps w:val="0"/>
                <w:color w:val="000000"/>
                <w:sz w:val="26"/>
              </w:rPr>
              <w:t>Giá gói thầu để làm căn cứ xét duyệt trúng thầu: giá gói thầu được phê duyệt trong kế hoạch lựa chọn nhà thầu là 2.000.000.000 đồng. Trường hợp dự toán của gói thầu được phê duyệt thấp hơn hoặc cao hơn giá gói thầu được phê duyệt thì dự toán này sẽ thay thế giá gói thầu để làm cơ sở xét duyệt trúng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34.1</w:t>
            </w:r>
          </w:p>
        </w:tc>
        <w:tc>
          <w:tcPr>
            <w:tcW w:type="dxa" w:w="7600"/>
          </w:tcPr>
          <w:p>
            <w:pPr>
              <w:spacing w:before="0" w:after="60"/>
              <w:jc w:val="left"/>
            </w:pPr>
            <w:r>
              <w:rPr>
                <w:rFonts w:ascii="Times New Roman" w:hAnsi="Times New Roman" w:eastAsia="Times New Roman" w:cs="Times New Roman"/>
                <w:b w:val="0"/>
                <w:i w:val="0"/>
                <w:caps w:val="0"/>
                <w:color w:val="000000"/>
                <w:sz w:val="26"/>
              </w:rPr>
              <w:t>Tỷ lệ tăng khối lượng tối đa là: 0%. Tỷ lệ giảm khối lượng tối đa là: 0%. Thay đổi đặc tả, khối lượng sau khi ký hợp đồng thực hiện theo Mục 17 E-ĐKC và Mục 17.1 E-ĐKCT.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34.2</w:t>
            </w:r>
          </w:p>
        </w:tc>
        <w:tc>
          <w:tcPr>
            <w:tcW w:type="dxa" w:w="7600"/>
          </w:tcPr>
          <w:p>
            <w:pPr>
              <w:spacing w:before="0" w:after="60"/>
              <w:jc w:val="left"/>
            </w:pPr>
            <w:r>
              <w:rPr>
                <w:rFonts w:ascii="Times New Roman" w:hAnsi="Times New Roman" w:eastAsia="Times New Roman" w:cs="Times New Roman"/>
                <w:b w:val="0"/>
                <w:i w:val="0"/>
                <w:caps w:val="0"/>
                <w:color w:val="000000"/>
                <w:sz w:val="26"/>
              </w:rPr>
              <w:t>Tùy chọn mua thêm: không áp dụng.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38.1</w:t>
            </w:r>
          </w:p>
        </w:tc>
        <w:tc>
          <w:tcPr>
            <w:tcW w:type="dxa" w:w="7600"/>
          </w:tcPr>
          <w:p>
            <w:pPr>
              <w:spacing w:before="0" w:after="60"/>
              <w:jc w:val="left"/>
            </w:pPr>
            <w:r>
              <w:rPr>
                <w:rFonts w:ascii="Times New Roman" w:hAnsi="Times New Roman" w:eastAsia="Times New Roman" w:cs="Times New Roman"/>
                <w:b w:val="0"/>
                <w:i w:val="0"/>
                <w:caps w:val="0"/>
                <w:color w:val="000000"/>
                <w:sz w:val="26"/>
              </w:rPr>
              <w:t>- Người có thẩm quyền: Tổng Giám đốc Công ty Cổ phần ABC Wear.</w:t>
            </w:r>
          </w:p>
          <w:p>
            <w:pPr>
              <w:spacing w:before="0" w:after="60"/>
              <w:jc w:val="left"/>
            </w:pPr>
            <w:r>
              <w:rPr>
                <w:rFonts w:ascii="Times New Roman" w:hAnsi="Times New Roman" w:eastAsia="Times New Roman" w:cs="Times New Roman"/>
                <w:b w:val="0"/>
                <w:i w:val="0"/>
                <w:caps w:val="0"/>
                <w:color w:val="000000"/>
                <w:sz w:val="26"/>
              </w:rPr>
              <w:t>+ Địa chỉ: Số 10 phố Giả Định, phường Cầu Giấy, thành phố Hà Nội, điện thoại 024 0000 1010, fax 024 0000 1011.</w:t>
            </w:r>
          </w:p>
          <w:p>
            <w:pPr>
              <w:spacing w:before="0" w:after="60"/>
              <w:jc w:val="left"/>
            </w:pPr>
            <w:r>
              <w:rPr>
                <w:rFonts w:ascii="Times New Roman" w:hAnsi="Times New Roman" w:eastAsia="Times New Roman" w:cs="Times New Roman"/>
                <w:b w:val="0"/>
                <w:i w:val="0"/>
                <w:caps w:val="0"/>
                <w:color w:val="000000"/>
                <w:sz w:val="26"/>
              </w:rPr>
              <w:t>+ E-mail nhận đơn kiến nghị: yamada@abc.com (Phòng Kế hoạch tiếp nhận và chuyển người có thẩm quyền).</w:t>
            </w:r>
          </w:p>
          <w:p>
            <w:pPr>
              <w:spacing w:before="0" w:after="60"/>
              <w:jc w:val="left"/>
            </w:pPr>
            <w:r>
              <w:rPr>
                <w:rFonts w:ascii="Times New Roman" w:hAnsi="Times New Roman" w:eastAsia="Times New Roman" w:cs="Times New Roman"/>
                <w:b w:val="0"/>
                <w:i w:val="0"/>
                <w:caps w:val="0"/>
                <w:color w:val="000000"/>
                <w:sz w:val="26"/>
              </w:rPr>
              <w:t>- Bộ phận thường trực giúp việc cho Chủ tịch Hội đồng giải quyết kiến nghị: không thành lập, do gói thầu sử dụng vốn tự có của doanh nghiệp. Kiến nghị do người có thẩm quyền giải quyết.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38.2</w:t>
            </w:r>
          </w:p>
        </w:tc>
        <w:tc>
          <w:tcPr>
            <w:tcW w:type="dxa" w:w="7600"/>
          </w:tcPr>
          <w:p>
            <w:pPr>
              <w:spacing w:before="0" w:after="60"/>
              <w:jc w:val="left"/>
            </w:pPr>
            <w:r>
              <w:rPr>
                <w:rFonts w:ascii="Times New Roman" w:hAnsi="Times New Roman" w:eastAsia="Times New Roman" w:cs="Times New Roman"/>
                <w:b w:val="0"/>
                <w:i w:val="0"/>
                <w:caps w:val="0"/>
                <w:color w:val="000000"/>
                <w:sz w:val="26"/>
              </w:rPr>
              <w:t>- Nhà thầu gửi văn bản kiến nghị tới Chủ đầu tư qua Hệ thống hoặc qua e-mail yamada@abc.com. Văn bản kiến nghị nêu rõ nội dung kiến nghị, căn cứ và đề nghị của nhà thầu.</w:t>
            </w:r>
          </w:p>
          <w:p>
            <w:pPr>
              <w:spacing w:before="0" w:after="60"/>
              <w:jc w:val="left"/>
            </w:pPr>
            <w:r>
              <w:rPr>
                <w:rFonts w:ascii="Times New Roman" w:hAnsi="Times New Roman" w:eastAsia="Times New Roman" w:cs="Times New Roman"/>
                <w:b w:val="0"/>
                <w:i w:val="0"/>
                <w:caps w:val="0"/>
                <w:color w:val="000000"/>
                <w:sz w:val="26"/>
              </w:rPr>
              <w:t>- Chủ đầu tư xem xét, giải quyết và trả lời nhà thầu bằng văn bản trong thời hạn quy định của Luật Đấu thầu số 22/2023/QH15 và Nghị định số 214/2025/NĐ-CP.</w:t>
            </w:r>
          </w:p>
          <w:p>
            <w:pPr>
              <w:spacing w:before="0" w:after="60"/>
              <w:jc w:val="left"/>
            </w:pPr>
            <w:r>
              <w:rPr>
                <w:rFonts w:ascii="Times New Roman" w:hAnsi="Times New Roman" w:eastAsia="Times New Roman" w:cs="Times New Roman"/>
                <w:b w:val="0"/>
                <w:i w:val="0"/>
                <w:caps w:val="0"/>
                <w:color w:val="000000"/>
                <w:sz w:val="26"/>
              </w:rPr>
              <w:t>- Trường hợp Chủ đầu tư không trả lời trong thời hạn quy định hoặc nhà thầu không đồng ý với kết quả giải quyết, nhà thầu gửi kiến nghị tới người có thẩm quyền nêu tại Mục 38.1 E-BDL qua e-mail yamada@abc.com hoặc theo địa chỉ Số 10 phố Giả Định, phường Cầu Giấy, thành phố Hà Nội.</w:t>
            </w:r>
          </w:p>
          <w:p>
            <w:pPr>
              <w:spacing w:before="0" w:after="60"/>
              <w:jc w:val="left"/>
            </w:pPr>
            <w:r>
              <w:rPr>
                <w:rFonts w:ascii="Times New Roman" w:hAnsi="Times New Roman" w:eastAsia="Times New Roman" w:cs="Times New Roman"/>
                <w:b w:val="0"/>
                <w:i w:val="0"/>
                <w:caps w:val="0"/>
                <w:color w:val="000000"/>
                <w:sz w:val="26"/>
              </w:rPr>
              <w:t>- Đầu mối tiếp nhận và theo dõi kiến nghị: Yamada, Phòng Kế hoạch, điện thoại 024 0000 1010, e-mail yamada@abc.com.</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III. Tiêu chuẩn đánh giá E-HSDT</w:t>
      </w:r>
    </w:p>
    <w:p>
      <w:pPr>
        <w:pStyle w:val="Heading2"/>
        <w:spacing w:before="200" w:after="120"/>
        <w:jc w:val="left"/>
      </w:pPr>
      <w:r>
        <w:rPr>
          <w:rFonts w:ascii="Times New Roman" w:hAnsi="Times New Roman" w:eastAsia="Times New Roman" w:cs="Times New Roman"/>
          <w:b w:val="0"/>
          <w:i w:val="0"/>
          <w:caps w:val="0"/>
          <w:color w:val="000000"/>
          <w:sz w:val="26"/>
        </w:rPr>
        <w:t>Mục 1. Đánh giá tính hợp lệ của E-HSDT</w:t>
      </w:r>
    </w:p>
    <w:p>
      <w:pPr>
        <w:spacing w:before="0" w:after="100" w:line="300" w:lineRule="auto"/>
        <w:jc w:val="both"/>
      </w:pPr>
      <w:r>
        <w:rPr>
          <w:rFonts w:ascii="Times New Roman" w:hAnsi="Times New Roman" w:eastAsia="Times New Roman" w:cs="Times New Roman"/>
          <w:b w:val="0"/>
          <w:i w:val="0"/>
          <w:caps w:val="0"/>
          <w:color w:val="000000"/>
          <w:sz w:val="26"/>
        </w:rPr>
        <w:t>E-HSDT của nhà thầu được đánh giá là hợp lệ khi đáp ứng đầy đủ các nội dung sau đây:</w:t>
      </w:r>
    </w:p>
    <w:p>
      <w:pPr>
        <w:spacing w:before="0" w:after="100" w:line="300" w:lineRule="auto"/>
        <w:jc w:val="both"/>
      </w:pPr>
      <w:r>
        <w:rPr>
          <w:rFonts w:ascii="Times New Roman" w:hAnsi="Times New Roman" w:eastAsia="Times New Roman" w:cs="Times New Roman"/>
          <w:b w:val="0"/>
          <w:i w:val="0"/>
          <w:caps w:val="0"/>
          <w:color w:val="000000"/>
          <w:sz w:val="26"/>
        </w:rPr>
        <w:t>1. Có bảo đảm dự thầu không vi phạm một trong các trường hợp quy định tại Mục 18.3 E-CDNT. Thư bảo lãnh phải được đại diện hợp pháp của tổ chức tín dụng trong nước 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Chủ đầu tư phát hành E-HSMT; không được kèm theo các điều kiện gây bất lợi cho Chủ đầu tư (trong đó bao gồm việc không đáp ứng đủ các cam kết theo quy định tại Mẫu số 04A, Mẫu số 04B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Đối với nhà thầu liên danh, các thành viên liên danh phải sử dụng cùng thể thức bảo lãnh dự thầu: bảo lãnh dự thầu điện tử hoặc bằng giấy. Đối với gói thầu bảo hiểm, nhà thầu tham dự thầu không được xuất trình giấy chứng nhận bảo hiểm bảo lãnh do mình phát hành.</w:t>
      </w:r>
    </w:p>
    <w:p>
      <w:pPr>
        <w:spacing w:before="0" w:after="100" w:line="300" w:lineRule="auto"/>
        <w:jc w:val="both"/>
      </w:pPr>
      <w:r>
        <w:rPr>
          <w:rFonts w:ascii="Times New Roman" w:hAnsi="Times New Roman" w:eastAsia="Times New Roman" w:cs="Times New Roman"/>
          <w:b w:val="0"/>
          <w:i w:val="0"/>
          <w:caps w:val="0"/>
          <w:color w:val="000000"/>
          <w:sz w:val="26"/>
        </w:rPr>
        <w:t>Đối với gói thầu có giá trị bảo đảm dự thầu nhỏ hơn 50 triệu đồng, nhà thầu có cam kết trong đơn dự thầu theo quy định tại Mục 18.8 E-CDNT.</w:t>
      </w:r>
    </w:p>
    <w:p>
      <w:pPr>
        <w:spacing w:before="0" w:after="100" w:line="300" w:lineRule="auto"/>
        <w:jc w:val="both"/>
      </w:pPr>
      <w:r>
        <w:rPr>
          <w:rFonts w:ascii="Times New Roman" w:hAnsi="Times New Roman" w:eastAsia="Times New Roman" w:cs="Times New Roman"/>
          <w:b w:val="0"/>
          <w:i w:val="0"/>
          <w:caps w:val="0"/>
          <w:color w:val="000000"/>
          <w:sz w:val="26"/>
        </w:rPr>
        <w:t>2. Trường hợp nhà thầu liên danh thì thỏa thuận liên danh phải nêu rõ nội dung công việc cụ thể và ước tính giá trị tương ứng mà từng thành viên trong liên danh sẽ thực hiện theo Mẫu số 03 Chương IV. Việc phân chia công việc trong liên danh phải căn cứ các hạng mục nêu trong bảng giá dự thầu theo Mẫu số 11 (11A hoặc 11B hoặc 11C hoặc 11D hoặc 11E hoặc 11G) Chương IV hoặc theo các công việc thuộc quá trình sản xuất hạng mục trong bảng giá dự thầu, không được phân chia các công việc không thuộc các hạng mục này hoặc không thuộc quá trình sản xuất các hạng mục này.</w:t>
      </w:r>
    </w:p>
    <w:p>
      <w:pPr>
        <w:spacing w:before="0" w:after="100" w:line="300" w:lineRule="auto"/>
        <w:jc w:val="both"/>
      </w:pPr>
      <w:r>
        <w:rPr>
          <w:rFonts w:ascii="Times New Roman" w:hAnsi="Times New Roman" w:eastAsia="Times New Roman" w:cs="Times New Roman"/>
          <w:b w:val="0"/>
          <w:i w:val="0"/>
          <w:caps w:val="0"/>
          <w:color w:val="000000"/>
          <w:sz w:val="26"/>
        </w:rPr>
        <w:t>3. Nhà thầu bảo đảm tư cách hợp lệ theo quy định tại Mục 5 E-CDNT.</w:t>
      </w:r>
    </w:p>
    <w:p>
      <w:pPr>
        <w:spacing w:before="0" w:after="100" w:line="300" w:lineRule="auto"/>
        <w:jc w:val="both"/>
      </w:pPr>
      <w:r>
        <w:rPr>
          <w:rFonts w:ascii="Times New Roman" w:hAnsi="Times New Roman" w:eastAsia="Times New Roman" w:cs="Times New Roman"/>
          <w:b w:val="0"/>
          <w:i w:val="0"/>
          <w:caps w:val="0"/>
          <w:color w:val="000000"/>
          <w:sz w:val="26"/>
        </w:rPr>
        <w:t>4. Không trong trạng thái bị tạm ngừng, chấm dứt tham gia Hệ thống.</w:t>
      </w:r>
    </w:p>
    <w:p>
      <w:pPr>
        <w:spacing w:before="0" w:after="100" w:line="300" w:lineRule="auto"/>
        <w:jc w:val="both"/>
      </w:pPr>
      <w:r>
        <w:rPr>
          <w:rFonts w:ascii="Times New Roman" w:hAnsi="Times New Roman" w:eastAsia="Times New Roman" w:cs="Times New Roman"/>
          <w:b w:val="0"/>
          <w:i w:val="0"/>
          <w:caps w:val="0"/>
          <w:color w:val="000000"/>
          <w:sz w:val="26"/>
        </w:rPr>
        <w:t>5.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pPr>
        <w:spacing w:before="0" w:after="100" w:line="300" w:lineRule="auto"/>
        <w:jc w:val="both"/>
      </w:pPr>
      <w:r>
        <w:rPr>
          <w:rFonts w:ascii="Times New Roman" w:hAnsi="Times New Roman" w:eastAsia="Times New Roman" w:cs="Times New Roman"/>
          <w:b w:val="0"/>
          <w:i w:val="0"/>
          <w:caps w:val="0"/>
          <w:color w:val="000000"/>
          <w:sz w:val="26"/>
        </w:rPr>
        <w:t>Nhà thầu có E-HSDT hợp lệ được xem xét, đánh giá trong bước tiếp theo.</w:t>
      </w:r>
    </w:p>
    <w:p>
      <w:pPr>
        <w:pStyle w:val="Heading2"/>
        <w:spacing w:before="200" w:after="120"/>
        <w:jc w:val="left"/>
      </w:pPr>
      <w:r>
        <w:rPr>
          <w:rFonts w:ascii="Times New Roman" w:hAnsi="Times New Roman" w:eastAsia="Times New Roman" w:cs="Times New Roman"/>
          <w:b w:val="0"/>
          <w:i w:val="0"/>
          <w:caps w:val="0"/>
          <w:color w:val="000000"/>
          <w:sz w:val="26"/>
        </w:rPr>
        <w:t>Mục 2. Tiêu chuẩn đánh giá về năng lực và kinh nghiệm</w:t>
      </w:r>
    </w:p>
    <w:p>
      <w:pPr>
        <w:pStyle w:val="Heading2"/>
        <w:spacing w:before="200" w:after="120"/>
        <w:jc w:val="left"/>
      </w:pPr>
      <w:r>
        <w:rPr>
          <w:rFonts w:ascii="Times New Roman" w:hAnsi="Times New Roman" w:eastAsia="Times New Roman" w:cs="Times New Roman"/>
          <w:b w:val="0"/>
          <w:i w:val="0"/>
          <w:caps w:val="0"/>
          <w:color w:val="000000"/>
          <w:sz w:val="26"/>
        </w:rPr>
        <w:t>2.1. Tiêu chuẩn đánh giá về năng lực và kinh nghiệm</w:t>
      </w:r>
    </w:p>
    <w:p>
      <w:pPr>
        <w:spacing w:before="0" w:after="100" w:line="300" w:lineRule="auto"/>
        <w:jc w:val="both"/>
      </w:pPr>
      <w:r>
        <w:rPr>
          <w:rFonts w:ascii="Times New Roman" w:hAnsi="Times New Roman" w:eastAsia="Times New Roman" w:cs="Times New Roman"/>
          <w:b w:val="0"/>
          <w:i w:val="0"/>
          <w:caps w:val="0"/>
          <w:color w:val="000000"/>
          <w:sz w:val="26"/>
        </w:rPr>
        <w:t>Tiêu chuẩn đánh giá năng lực và kinh nghiệm thực hiện theo quy định tại Bảng số 01 Chương này và được số hóa dưới dạng webform trên Hệ thống, sử dụng tiêu chí đạt, không đạt. Nhà thầu được đánh giá đạt tất cả nội dung quy định tại Bảng số 01 thì đáp ứng yêu cầu về năng lực và kinh nghiệm. Năng lực và kinh nghiệm của nhà thầu phụ sẽ không được xem xét khi đánh giá E-HSDT của nhà thầu. Bản thân nhà thầu phải đáp ứng các tiêu chí đánh giá về năng lực và kinh nghiệm.</w:t>
      </w:r>
    </w:p>
    <w:p>
      <w:pPr>
        <w:spacing w:before="0" w:after="100" w:line="300" w:lineRule="auto"/>
        <w:jc w:val="both"/>
      </w:pPr>
      <w:r>
        <w:rPr>
          <w:rFonts w:ascii="Times New Roman" w:hAnsi="Times New Roman" w:eastAsia="Times New Roman" w:cs="Times New Roman"/>
          <w:b w:val="0"/>
          <w:i w:val="0"/>
          <w:caps w:val="0"/>
          <w:color w:val="000000"/>
          <w:sz w:val="26"/>
        </w:rPr>
        <w:t>Trường hợp đồng tiền nêu trong các hợp đồng tương tự hoặc xác nhận thanh toán của Chủ đầu tư đối với những hợp đồng cung cấp dịch vụ phi tư vấn đã thực hiện hoặc tờ khai nộp thuế hoặc các tài liệu liên quan chứng minh năng lực, kinh nghiệm của nhà thầu không phải VND thì khi lập E-HSDT, nhà thầu phải quy đổi về VND để làm cơ sở đánh giá E-HSDT. Việc quy đổi được áp dụng tỷ giá bán ra của một ngân hàng thương mại hoạt động tại Việt Nam tại ngày ký hợp đồng tương tự đó.</w:t>
      </w:r>
    </w:p>
    <w:p>
      <w:pPr>
        <w:spacing w:before="0" w:after="100" w:line="300" w:lineRule="auto"/>
        <w:jc w:val="both"/>
      </w:pPr>
      <w:r>
        <w:rPr>
          <w:rFonts w:ascii="Times New Roman" w:hAnsi="Times New Roman" w:eastAsia="Times New Roman" w:cs="Times New Roman"/>
          <w:b w:val="0"/>
          <w:i w:val="0"/>
          <w:caps w:val="0"/>
          <w:color w:val="000000"/>
          <w:sz w:val="26"/>
        </w:rPr>
        <w:t>Trường hợp nhà thầu tham dự thầu là công ty mẹ (ví dụ như Tổng công ty) có huy động công ty con, công ty thành viên thực hiện một phần công việc của gói thầu thì nhà thầu phải kê khai cụ thể phần công việc dành cho các công ty con, công ty thành viên theo Mẫu số 09B Chương IV. Việc đánh giá kinh nghiệm thực hiện hợp đồng tương tự căn cứ vào giá trị, khối lượng công việc do công ty mẹ, công ty con, công ty thành viên đảm nhiệm trong gói thầu.</w:t>
      </w:r>
    </w:p>
    <w:p>
      <w:pPr>
        <w:spacing w:before="0" w:after="100" w:line="300" w:lineRule="auto"/>
        <w:jc w:val="both"/>
      </w:pPr>
      <w:r>
        <w:rPr>
          <w:rFonts w:ascii="Times New Roman" w:hAnsi="Times New Roman" w:eastAsia="Times New Roman" w:cs="Times New Roman"/>
          <w:b w:val="0"/>
          <w:i w:val="0"/>
          <w:caps w:val="0"/>
          <w:color w:val="000000"/>
          <w:sz w:val="26"/>
        </w:rPr>
        <w:t>Bảng số 01. Bảng tiêu chuẩn đánh giá về năng lực và kinh nghiệm (webform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560"/>
        <w:gridCol w:w="1450"/>
        <w:gridCol w:w="2950"/>
        <w:gridCol w:w="1150"/>
        <w:gridCol w:w="1150"/>
        <w:gridCol w:w="1250"/>
        <w:gridCol w:w="1090"/>
      </w:tblGrid>
      <w:tr>
        <w:trPr>
          <w:tblHeader/>
        </w:trPr>
        <w:tc>
          <w:tcPr>
            <w:tcW w:type="dxa" w:w="560"/>
          </w:tcPr>
          <w:p>
            <w:pPr>
              <w:spacing w:before="0" w:after="60"/>
              <w:jc w:val="left"/>
            </w:pPr>
            <w:r>
              <w:rPr>
                <w:rFonts w:ascii="Times New Roman" w:hAnsi="Times New Roman" w:eastAsia="Times New Roman" w:cs="Times New Roman"/>
                <w:b w:val="0"/>
                <w:i w:val="0"/>
                <w:caps w:val="0"/>
                <w:color w:val="000000"/>
                <w:sz w:val="26"/>
              </w:rPr>
              <w:t>TT</w:t>
            </w:r>
          </w:p>
        </w:tc>
        <w:tc>
          <w:tcPr>
            <w:tcW w:type="dxa" w:w="1450"/>
          </w:tcPr>
          <w:p>
            <w:pPr>
              <w:spacing w:before="0" w:after="60"/>
              <w:jc w:val="left"/>
            </w:pPr>
            <w:r>
              <w:rPr>
                <w:rFonts w:ascii="Times New Roman" w:hAnsi="Times New Roman" w:eastAsia="Times New Roman" w:cs="Times New Roman"/>
                <w:b w:val="0"/>
                <w:i w:val="0"/>
                <w:caps w:val="0"/>
                <w:color w:val="000000"/>
                <w:sz w:val="26"/>
              </w:rPr>
              <w:t>Mô tả</w:t>
            </w:r>
          </w:p>
        </w:tc>
        <w:tc>
          <w:tcPr>
            <w:tcW w:type="dxa" w:w="2950"/>
          </w:tcPr>
          <w:p>
            <w:pPr>
              <w:spacing w:before="0" w:after="60"/>
              <w:jc w:val="left"/>
            </w:pPr>
            <w:r>
              <w:rPr>
                <w:rFonts w:ascii="Times New Roman" w:hAnsi="Times New Roman" w:eastAsia="Times New Roman" w:cs="Times New Roman"/>
                <w:b w:val="0"/>
                <w:i w:val="0"/>
                <w:caps w:val="0"/>
                <w:color w:val="000000"/>
                <w:sz w:val="26"/>
              </w:rPr>
              <w:t>Yêu cầu</w:t>
            </w:r>
          </w:p>
        </w:tc>
        <w:tc>
          <w:tcPr>
            <w:tcW w:type="dxa" w:w="1150"/>
          </w:tcPr>
          <w:p>
            <w:pPr>
              <w:spacing w:before="0" w:after="60"/>
              <w:jc w:val="left"/>
            </w:pPr>
            <w:r>
              <w:rPr>
                <w:rFonts w:ascii="Times New Roman" w:hAnsi="Times New Roman" w:eastAsia="Times New Roman" w:cs="Times New Roman"/>
                <w:b w:val="0"/>
                <w:i w:val="0"/>
                <w:caps w:val="0"/>
                <w:color w:val="000000"/>
                <w:sz w:val="26"/>
              </w:rPr>
              <w:t>Nhà thầu độc lập</w:t>
            </w:r>
          </w:p>
        </w:tc>
        <w:tc>
          <w:tcPr>
            <w:tcW w:type="dxa" w:w="1150"/>
          </w:tcPr>
          <w:p>
            <w:pPr>
              <w:spacing w:before="0" w:after="60"/>
              <w:jc w:val="left"/>
            </w:pPr>
            <w:r>
              <w:rPr>
                <w:rFonts w:ascii="Times New Roman" w:hAnsi="Times New Roman" w:eastAsia="Times New Roman" w:cs="Times New Roman"/>
                <w:b w:val="0"/>
                <w:i w:val="0"/>
                <w:caps w:val="0"/>
                <w:color w:val="000000"/>
                <w:sz w:val="26"/>
              </w:rPr>
              <w:t>Liên danh: tổng các thành viên</w:t>
            </w:r>
          </w:p>
        </w:tc>
        <w:tc>
          <w:tcPr>
            <w:tcW w:type="dxa" w:w="1250"/>
          </w:tcPr>
          <w:p>
            <w:pPr>
              <w:spacing w:before="0" w:after="60"/>
              <w:jc w:val="left"/>
            </w:pPr>
            <w:r>
              <w:rPr>
                <w:rFonts w:ascii="Times New Roman" w:hAnsi="Times New Roman" w:eastAsia="Times New Roman" w:cs="Times New Roman"/>
                <w:b w:val="0"/>
                <w:i w:val="0"/>
                <w:caps w:val="0"/>
                <w:color w:val="000000"/>
                <w:sz w:val="26"/>
              </w:rPr>
              <w:t>Liên danh: từng thành viên</w:t>
            </w:r>
          </w:p>
        </w:tc>
        <w:tc>
          <w:tcPr>
            <w:tcW w:type="dxa" w:w="1090"/>
          </w:tcPr>
          <w:p>
            <w:pPr>
              <w:spacing w:before="0" w:after="60"/>
              <w:jc w:val="left"/>
            </w:pPr>
            <w:r>
              <w:rPr>
                <w:rFonts w:ascii="Times New Roman" w:hAnsi="Times New Roman" w:eastAsia="Times New Roman" w:cs="Times New Roman"/>
                <w:b w:val="0"/>
                <w:i w:val="0"/>
                <w:caps w:val="0"/>
                <w:color w:val="000000"/>
                <w:sz w:val="26"/>
              </w:rPr>
              <w:t>Tài liệu cần nộp</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1</w:t>
            </w:r>
          </w:p>
        </w:tc>
        <w:tc>
          <w:tcPr>
            <w:tcW w:type="dxa" w:w="1450"/>
          </w:tcPr>
          <w:p>
            <w:pPr>
              <w:spacing w:before="0" w:after="60"/>
              <w:jc w:val="left"/>
            </w:pPr>
            <w:r>
              <w:rPr>
                <w:rFonts w:ascii="Times New Roman" w:hAnsi="Times New Roman" w:eastAsia="Times New Roman" w:cs="Times New Roman"/>
                <w:b w:val="0"/>
                <w:i w:val="0"/>
                <w:caps w:val="0"/>
                <w:color w:val="000000"/>
                <w:sz w:val="26"/>
              </w:rPr>
              <w:t>Lịch sử không hoàn thành hợp đồng do lỗi của nhà thầu</w:t>
            </w:r>
          </w:p>
        </w:tc>
        <w:tc>
          <w:tcPr>
            <w:tcW w:type="dxa" w:w="2950"/>
          </w:tcPr>
          <w:p>
            <w:pPr>
              <w:spacing w:before="0" w:after="60"/>
              <w:jc w:val="left"/>
            </w:pPr>
            <w:r>
              <w:rPr>
                <w:rFonts w:ascii="Times New Roman" w:hAnsi="Times New Roman" w:eastAsia="Times New Roman" w:cs="Times New Roman"/>
                <w:b w:val="0"/>
                <w:i w:val="0"/>
                <w:caps w:val="0"/>
                <w:color w:val="000000"/>
                <w:sz w:val="26"/>
              </w:rPr>
              <w:t>Từ ngày 01 tháng 01 năm 2024 đến thời điểm đóng thầu, nhà thầu không có từ 02 hợp đồng trở lên (cung cấp dịch vụ phi tư vấn) không hoàn thành do lỗi của nhà thầu.</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07</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2</w:t>
            </w:r>
          </w:p>
        </w:tc>
        <w:tc>
          <w:tcPr>
            <w:tcW w:type="dxa" w:w="1450"/>
          </w:tcPr>
          <w:p>
            <w:pPr>
              <w:spacing w:before="0" w:after="60"/>
              <w:jc w:val="left"/>
            </w:pPr>
            <w:r>
              <w:rPr>
                <w:rFonts w:ascii="Times New Roman" w:hAnsi="Times New Roman" w:eastAsia="Times New Roman" w:cs="Times New Roman"/>
                <w:b w:val="0"/>
                <w:i w:val="0"/>
                <w:caps w:val="0"/>
                <w:color w:val="000000"/>
                <w:sz w:val="26"/>
              </w:rPr>
              <w:t>Thực hiện nghĩa vụ kê khai thuế và nộp thuế</w:t>
            </w:r>
          </w:p>
        </w:tc>
        <w:tc>
          <w:tcPr>
            <w:tcW w:type="dxa" w:w="2950"/>
          </w:tcPr>
          <w:p>
            <w:pPr>
              <w:spacing w:before="0" w:after="60"/>
              <w:jc w:val="left"/>
            </w:pPr>
            <w:r>
              <w:rPr>
                <w:rFonts w:ascii="Times New Roman" w:hAnsi="Times New Roman" w:eastAsia="Times New Roman" w:cs="Times New Roman"/>
                <w:b w:val="0"/>
                <w:i w:val="0"/>
                <w:caps w:val="0"/>
                <w:color w:val="000000"/>
                <w:sz w:val="26"/>
              </w:rPr>
              <w:t>Đã thực hiện nghĩa vụ kê khai thuế và nộp thuế của năm tài chính gần nhất so với thời điểm đóng thầu (năm 2025).</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090"/>
          </w:tcPr>
          <w:p>
            <w:pPr>
              <w:spacing w:before="0" w:after="60"/>
              <w:jc w:val="left"/>
            </w:pPr>
            <w:r>
              <w:rPr>
                <w:rFonts w:ascii="Times New Roman" w:hAnsi="Times New Roman" w:eastAsia="Times New Roman" w:cs="Times New Roman"/>
                <w:b w:val="0"/>
                <w:i w:val="0"/>
                <w:caps w:val="0"/>
                <w:color w:val="000000"/>
                <w:sz w:val="26"/>
              </w:rPr>
              <w:t>Cam kết trong đơn dự thầu</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3</w:t>
            </w:r>
          </w:p>
        </w:tc>
        <w:tc>
          <w:tcPr>
            <w:tcW w:type="dxa" w:w="1450"/>
          </w:tcPr>
          <w:p>
            <w:pPr>
              <w:spacing w:before="0" w:after="60"/>
              <w:jc w:val="left"/>
            </w:pPr>
            <w:r>
              <w:rPr>
                <w:rFonts w:ascii="Times New Roman" w:hAnsi="Times New Roman" w:eastAsia="Times New Roman" w:cs="Times New Roman"/>
                <w:b w:val="0"/>
                <w:i w:val="0"/>
                <w:caps w:val="0"/>
                <w:color w:val="000000"/>
                <w:sz w:val="26"/>
              </w:rPr>
              <w:t>Doanh thu bình quân hằng năm (không bao gồm thuế VAT)</w:t>
            </w:r>
          </w:p>
        </w:tc>
        <w:tc>
          <w:tcPr>
            <w:tcW w:type="dxa" w:w="2950"/>
          </w:tcPr>
          <w:p>
            <w:pPr>
              <w:spacing w:before="0" w:after="60"/>
              <w:jc w:val="left"/>
            </w:pPr>
            <w:r>
              <w:rPr>
                <w:rFonts w:ascii="Times New Roman" w:hAnsi="Times New Roman" w:eastAsia="Times New Roman" w:cs="Times New Roman"/>
                <w:b w:val="0"/>
                <w:i w:val="0"/>
                <w:caps w:val="0"/>
                <w:color w:val="000000"/>
                <w:sz w:val="26"/>
              </w:rPr>
              <w:t>Áp dụng. Doanh thu bình quân hằng năm (không bao gồm thuế VAT) của 03 năm tài chính gần nhất so với thời điểm đóng thầu (các năm 2023, 2024, 2025) tối thiểu là 2.000.000.000 đồng, bằng (giá gói thầu trừ giá trị thuế GTGT) nhân hệ số k bằng 1,0 theo cách tính đối với gói thầu có thời gian thực hiện dưới 12 tháng. Giá trị thuế GTGT bằng 0 do dịch vụ phần mềm thuộc đối tượng không chịu thuế GTGT (Luật Thuế GTGT số 48/2024/QH15, khoản 21 Điều 5).</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2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08</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4</w:t>
            </w:r>
          </w:p>
        </w:tc>
        <w:tc>
          <w:tcPr>
            <w:tcW w:type="dxa" w:w="1450"/>
          </w:tcPr>
          <w:p>
            <w:pPr>
              <w:spacing w:before="0" w:after="60"/>
              <w:jc w:val="left"/>
            </w:pPr>
            <w:r>
              <w:rPr>
                <w:rFonts w:ascii="Times New Roman" w:hAnsi="Times New Roman" w:eastAsia="Times New Roman" w:cs="Times New Roman"/>
                <w:b w:val="0"/>
                <w:i w:val="0"/>
                <w:caps w:val="0"/>
                <w:color w:val="000000"/>
                <w:sz w:val="26"/>
              </w:rPr>
              <w:t>Kinh nghiệm cụ thể trong thực hiện hợp đồng tương tự</w:t>
            </w:r>
          </w:p>
        </w:tc>
        <w:tc>
          <w:tcPr>
            <w:tcW w:type="dxa" w:w="2950"/>
          </w:tcPr>
          <w:p>
            <w:pPr>
              <w:spacing w:before="0" w:after="60"/>
              <w:jc w:val="left"/>
            </w:pPr>
            <w:r>
              <w:rPr>
                <w:rFonts w:ascii="Times New Roman" w:hAnsi="Times New Roman" w:eastAsia="Times New Roman" w:cs="Times New Roman"/>
                <w:b w:val="0"/>
                <w:i w:val="0"/>
                <w:caps w:val="0"/>
                <w:color w:val="000000"/>
                <w:sz w:val="26"/>
              </w:rPr>
              <w:t>Áp dụng. Từ ngày 01 tháng 01 năm 2024 đến thời điểm đóng thầu, nhà thầu đã hoàn thành tối thiểu 01 hợp đồng tương tự với tư cách là nhà thầu chính (độc lập hoặc thành viên liên danh) hoặc nhà thầu phụ, có giá trị tối thiểu 600.000.000 đồng (30% giá gói thầu). Đối với hợp đồng nhà thầu tham gia với tư cách thành viên liên danh hoặc nhà thầu phụ thì chỉ tính giá trị phần việc do nhà thầu thực hiện. Hợp đồng tương tự là hợp đồng xây dựng, triển khai website bán hàng, thương mại điện tử hoặc phần mềm ứng dụng web có tích hợp với hệ thống khác.</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(tương đương với phần công việc đảm nhận)</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05</w:t>
            </w:r>
          </w:p>
        </w:tc>
      </w:tr>
    </w:tbl>
    <w:p>
      <w:pPr>
        <w:pStyle w:val="Heading2"/>
        <w:spacing w:before="200" w:after="120"/>
        <w:jc w:val="left"/>
      </w:pPr>
      <w:r>
        <w:rPr>
          <w:rFonts w:ascii="Times New Roman" w:hAnsi="Times New Roman" w:eastAsia="Times New Roman" w:cs="Times New Roman"/>
          <w:b w:val="0"/>
          <w:i w:val="0"/>
          <w:caps w:val="0"/>
          <w:color w:val="000000"/>
          <w:sz w:val="26"/>
        </w:rPr>
        <w:t>2.2. Tiêu chuẩn đánh giá về nhân sự chủ chốt và thiết bị chủ yếu</w:t>
      </w:r>
    </w:p>
    <w:p>
      <w:pPr>
        <w:spacing w:before="0" w:after="100" w:line="300" w:lineRule="auto"/>
        <w:jc w:val="both"/>
      </w:pPr>
      <w:r>
        <w:rPr>
          <w:rFonts w:ascii="Times New Roman" w:hAnsi="Times New Roman" w:eastAsia="Times New Roman" w:cs="Times New Roman"/>
          <w:b w:val="0"/>
          <w:i w:val="0"/>
          <w:caps w:val="0"/>
          <w:color w:val="000000"/>
          <w:sz w:val="26"/>
        </w:rPr>
        <w:t>a) Nhân sự chủ chốt. Gói thầu gồm phân tích, thiết kế, xây dựng hệ thống website bán hàng hoạt động liên tục và tích hợp với hệ thống chính hiện có (Main System) của Chủ đầu tư trong thời gian khoảng 15 tuần, vì vậy nhà thầu cần bố trí nhân sự chủ chốt có kinh nghiệm quản lý dự án, phát triển ứng dụng web và phân tích nghiệp vụ hoặc kiểm thử phần mềm.</w:t>
      </w:r>
    </w:p>
    <w:p>
      <w:pPr>
        <w:spacing w:before="0" w:after="100" w:line="300" w:lineRule="auto"/>
        <w:jc w:val="both"/>
      </w:pPr>
      <w:r>
        <w:rPr>
          <w:rFonts w:ascii="Times New Roman" w:hAnsi="Times New Roman" w:eastAsia="Times New Roman" w:cs="Times New Roman"/>
          <w:b w:val="0"/>
          <w:i w:val="0"/>
          <w:caps w:val="0"/>
          <w:color w:val="000000"/>
          <w:sz w:val="26"/>
        </w:rPr>
        <w:t>Trường hợp E-HSMT có yêu cầu về nhân sự chủ chốt thì nhà thầu phải chứng minh khả năng huy động các nhân sự chủ chốt đã đề xuất. Nhân sự chủ chốt có thể thuộc biên chế của nhà thầu hoặc do nhà thầu huy động.</w:t>
      </w:r>
    </w:p>
    <w:p>
      <w:pPr>
        <w:spacing w:before="0" w:after="100" w:line="300" w:lineRule="auto"/>
        <w:jc w:val="both"/>
      </w:pPr>
      <w:r>
        <w:rPr>
          <w:rFonts w:ascii="Times New Roman" w:hAnsi="Times New Roman" w:eastAsia="Times New Roman" w:cs="Times New Roman"/>
          <w:b w:val="0"/>
          <w:i w:val="0"/>
          <w:caps w:val="0"/>
          <w:color w:val="000000"/>
          <w:sz w:val="26"/>
        </w:rPr>
        <w:t>Trường hợp nhân sự chủ chốt mà nhà thầu kê khai trong E-HSDT không đáp ứng yêu cầu hoặc không chứng minh được khả năng huy động nhân sự (bao gồm cả trường hợp nhân sự chủ chốt đã huy động cho hợp đồng khác có thời gian làm việc trùng với thời gian thực hiện gói thầu này), Chủ đầu tư cho phép nhà thầu bổ sung, thay thế. Nhà thầu chỉ được phép bổ sung, thay thế một lần đối với từng vị trí nhân sự chủ chốt trong một khoảng thời gian phù hợp nhưng không ít hơn 03 ngày làm việc. Trường hợp nhà thầu không có nhân sự chủ chốt thay thế đáp ứng yêu cầu của E-HSMT thì nhà thầu bị loại. Trường hợp nhà thầu cố ý kê khai nhân sự chủ chốt không trung thực trong E-HSDT nhằm làm sai lệch kết quả lựa chọn nhà thầu thì nhà thầu không được thay thế nhân sự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pPr>
        <w:spacing w:before="0" w:after="100" w:line="300" w:lineRule="auto"/>
        <w:jc w:val="both"/>
      </w:pPr>
      <w:r>
        <w:rPr>
          <w:rFonts w:ascii="Times New Roman" w:hAnsi="Times New Roman" w:eastAsia="Times New Roman" w:cs="Times New Roman"/>
          <w:b w:val="0"/>
          <w:i w:val="0"/>
          <w:caps w:val="0"/>
          <w:color w:val="000000"/>
          <w:sz w:val="26"/>
        </w:rPr>
        <w:t>Yêu cầu về nhân sự chủ chốt được số hóa dưới dạng Webform trên Hệ thống. Kinh nghiệm trong các công việc tương tự được thể hiện ở số năm tối thiểu nhân sự thực hiện các công việc tương tự hoặc số hợp đồng tối thiểu trong các công việc tương tự. Số năm kinh nghiệm của nhân sự chủ chốt được tính từ thời điểm nhân sự bắt đầu thực hiện công việc tương tự đó đến thời điểm đóng thầu. Nhà thầu phải cung cấp thông tin chi tiết về các nhân sự chủ chốt được đề xuất theo các Mẫu số 06A, 06B và 06C Chương IV để chứng minh rằng mình có đầy đủ nhân sự cho các vị trí chủ chốt đáp ứng những yêu cầu sau đây:</w:t>
      </w:r>
    </w:p>
    <w:p>
      <w:pPr>
        <w:spacing w:before="0" w:after="100" w:line="300" w:lineRule="auto"/>
        <w:jc w:val="both"/>
      </w:pPr>
      <w:r>
        <w:rPr>
          <w:rFonts w:ascii="Times New Roman" w:hAnsi="Times New Roman" w:eastAsia="Times New Roman" w:cs="Times New Roman"/>
          <w:b w:val="0"/>
          <w:i w:val="0"/>
          <w:caps w:val="0"/>
          <w:color w:val="000000"/>
          <w:sz w:val="26"/>
        </w:rPr>
        <w:t>Bảng số 02. Yêu cầu về nhân sự chủ chốt (webform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2400"/>
        <w:gridCol w:w="900"/>
        <w:gridCol w:w="3800"/>
        <w:gridCol w:w="19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2400"/>
          </w:tcPr>
          <w:p>
            <w:pPr>
              <w:spacing w:before="0" w:after="60"/>
              <w:jc w:val="left"/>
            </w:pPr>
            <w:r>
              <w:rPr>
                <w:rFonts w:ascii="Times New Roman" w:hAnsi="Times New Roman" w:eastAsia="Times New Roman" w:cs="Times New Roman"/>
                <w:b w:val="0"/>
                <w:i w:val="0"/>
                <w:caps w:val="0"/>
                <w:color w:val="000000"/>
                <w:sz w:val="26"/>
              </w:rPr>
              <w:t>Vị trí công việc</w:t>
            </w:r>
          </w:p>
        </w:tc>
        <w:tc>
          <w:tcPr>
            <w:tcW w:type="dxa" w:w="900"/>
          </w:tcPr>
          <w:p>
            <w:pPr>
              <w:spacing w:before="0" w:after="60"/>
              <w:jc w:val="center"/>
            </w:pPr>
            <w:r>
              <w:rPr>
                <w:rFonts w:ascii="Times New Roman" w:hAnsi="Times New Roman" w:eastAsia="Times New Roman" w:cs="Times New Roman"/>
                <w:b w:val="0"/>
                <w:i w:val="0"/>
                <w:caps w:val="0"/>
                <w:color w:val="000000"/>
                <w:sz w:val="26"/>
              </w:rPr>
              <w:t>Số lượng</w:t>
            </w:r>
          </w:p>
        </w:tc>
        <w:tc>
          <w:tcPr>
            <w:tcW w:type="dxa" w:w="3800"/>
          </w:tcPr>
          <w:p>
            <w:pPr>
              <w:spacing w:before="0" w:after="60"/>
              <w:jc w:val="left"/>
            </w:pPr>
            <w:r>
              <w:rPr>
                <w:rFonts w:ascii="Times New Roman" w:hAnsi="Times New Roman" w:eastAsia="Times New Roman" w:cs="Times New Roman"/>
                <w:b w:val="0"/>
                <w:i w:val="0"/>
                <w:caps w:val="0"/>
                <w:color w:val="000000"/>
                <w:sz w:val="26"/>
              </w:rPr>
              <w:t>Kinh nghiệm trong các công việc tương tự</w:t>
            </w:r>
          </w:p>
        </w:tc>
        <w:tc>
          <w:tcPr>
            <w:tcW w:type="dxa" w:w="1900"/>
          </w:tcPr>
          <w:p>
            <w:pPr>
              <w:spacing w:before="0" w:after="60"/>
              <w:jc w:val="left"/>
            </w:pPr>
            <w:r>
              <w:rPr>
                <w:rFonts w:ascii="Times New Roman" w:hAnsi="Times New Roman" w:eastAsia="Times New Roman" w:cs="Times New Roman"/>
                <w:b w:val="0"/>
                <w:i w:val="0"/>
                <w:caps w:val="0"/>
                <w:color w:val="000000"/>
                <w:sz w:val="26"/>
              </w:rPr>
              <w:t>Chứng chỉ/trình độ chuyên môn</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2400"/>
          </w:tcPr>
          <w:p>
            <w:pPr>
              <w:spacing w:before="0" w:after="60"/>
              <w:jc w:val="left"/>
            </w:pPr>
            <w:r>
              <w:rPr>
                <w:rFonts w:ascii="Times New Roman" w:hAnsi="Times New Roman" w:eastAsia="Times New Roman" w:cs="Times New Roman"/>
                <w:b w:val="0"/>
                <w:i w:val="0"/>
                <w:caps w:val="0"/>
                <w:color w:val="000000"/>
                <w:sz w:val="26"/>
              </w:rPr>
              <w:t>Quản trị dự án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03 năm quản lý dự án phần mềm hoặc tối thiểu 02 hợp đồng tương tự</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2400"/>
          </w:tcPr>
          <w:p>
            <w:pPr>
              <w:spacing w:before="0" w:after="60"/>
              <w:jc w:val="left"/>
            </w:pPr>
            <w:r>
              <w:rPr>
                <w:rFonts w:ascii="Times New Roman" w:hAnsi="Times New Roman" w:eastAsia="Times New Roman" w:cs="Times New Roman"/>
                <w:b w:val="0"/>
                <w:i w:val="0"/>
                <w:caps w:val="0"/>
                <w:color w:val="000000"/>
                <w:sz w:val="26"/>
              </w:rPr>
              <w:t>Kỹ sư phát triển phần mềm</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02 năm lập trình ứng dụng web</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2400"/>
          </w:tcPr>
          <w:p>
            <w:pPr>
              <w:spacing w:before="0" w:after="60"/>
              <w:jc w:val="left"/>
            </w:pPr>
            <w:r>
              <w:rPr>
                <w:rFonts w:ascii="Times New Roman" w:hAnsi="Times New Roman" w:eastAsia="Times New Roman" w:cs="Times New Roman"/>
                <w:b w:val="0"/>
                <w:i w:val="0"/>
                <w:caps w:val="0"/>
                <w:color w:val="000000"/>
                <w:sz w:val="26"/>
              </w:rPr>
              <w:t>Kỹ sư phân tích nghiệp vụ hoặc kỹ sư kiểm thử</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02 năm phân tích nghiệp vụ hoặc kiểm thử phần mềm</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bl>
    <w:p>
      <w:pPr>
        <w:spacing w:before="0" w:after="100" w:line="300" w:lineRule="auto"/>
        <w:jc w:val="both"/>
      </w:pPr>
      <w:r>
        <w:rPr>
          <w:rFonts w:ascii="Times New Roman" w:hAnsi="Times New Roman" w:eastAsia="Times New Roman" w:cs="Times New Roman"/>
          <w:b w:val="0"/>
          <w:i w:val="0"/>
          <w:caps w:val="0"/>
          <w:color w:val="000000"/>
          <w:sz w:val="26"/>
        </w:rPr>
        <w:t>b) Thiết bị chủ yếu: không yêu cầu, do gói thầu không cần thiết bị đặc chủng.</w:t>
      </w:r>
    </w:p>
    <w:p>
      <w:pPr>
        <w:spacing w:before="0" w:after="100" w:line="300" w:lineRule="auto"/>
        <w:jc w:val="both"/>
      </w:pPr>
      <w:r>
        <w:rPr>
          <w:rFonts w:ascii="Times New Roman" w:hAnsi="Times New Roman" w:eastAsia="Times New Roman" w:cs="Times New Roman"/>
          <w:b w:val="0"/>
          <w:i w:val="0"/>
          <w:caps w:val="0"/>
          <w:color w:val="000000"/>
          <w:sz w:val="26"/>
        </w:rPr>
        <w:t>c) Trường hợp nhà thầu trúng thầu và ký kết hợp đồng, nhà thầu có nghĩa vụ huy động nhân sự chủ chốt, thiết bị chủ yếu như đã đề xuất ban đầu hoặc đề xuất thay đổi theo quy định tại Mục này. Trường hợp không huy động được nhân sự chủ chốt, thiết bị chủ yếu, nhà thầu bị phạt hợp đồng. Mức phạt khi không huy động nhân sự chủ chốt theo Mục 15 E-ĐKCT.</w:t>
      </w:r>
    </w:p>
    <w:p>
      <w:pPr>
        <w:pStyle w:val="Heading2"/>
        <w:spacing w:before="200" w:after="120"/>
        <w:jc w:val="left"/>
      </w:pPr>
      <w:r>
        <w:rPr>
          <w:rFonts w:ascii="Times New Roman" w:hAnsi="Times New Roman" w:eastAsia="Times New Roman" w:cs="Times New Roman"/>
          <w:b w:val="0"/>
          <w:i w:val="0"/>
          <w:caps w:val="0"/>
          <w:color w:val="000000"/>
          <w:sz w:val="26"/>
        </w:rPr>
        <w:t>Mục 3. Tiêu chuẩn đánh giá về kỹ thuật</w:t>
      </w:r>
    </w:p>
    <w:p>
      <w:pPr>
        <w:spacing w:before="0" w:after="100" w:line="300" w:lineRule="auto"/>
        <w:jc w:val="both"/>
      </w:pPr>
      <w:r>
        <w:rPr>
          <w:rFonts w:ascii="Times New Roman" w:hAnsi="Times New Roman" w:eastAsia="Times New Roman" w:cs="Times New Roman"/>
          <w:b w:val="0"/>
          <w:i w:val="0"/>
          <w:caps w:val="0"/>
          <w:color w:val="000000"/>
          <w:sz w:val="26"/>
        </w:rPr>
        <w:t>Áp dụng phương pháp chấm điểm theo thang điểm 100. Mức điểm yêu cầu tối thiểu về kỹ thuật là 70 điểm, bằng 70% tổng số điểm tối đa. Mỗi tiêu chí tổng quát phải đạt tối thiểu mức điểm nêu tại bảng dưới đây. Tiêu chuẩn đánh giá được xây dựng trên các sản phẩm đầu ra nêu tại Chương V. Đề xuất kỹ thuật của nhà thầu trình bày đủ các nội dung nêu tại mục 4 Chương V.</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6000"/>
        <w:gridCol w:w="1500"/>
        <w:gridCol w:w="15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6000"/>
          </w:tcPr>
          <w:p>
            <w:pPr>
              <w:spacing w:before="0" w:after="60"/>
              <w:jc w:val="left"/>
            </w:pPr>
            <w:r>
              <w:rPr>
                <w:rFonts w:ascii="Times New Roman" w:hAnsi="Times New Roman" w:eastAsia="Times New Roman" w:cs="Times New Roman"/>
                <w:b w:val="0"/>
                <w:i w:val="0"/>
                <w:caps w:val="0"/>
                <w:color w:val="000000"/>
                <w:sz w:val="26"/>
              </w:rPr>
              <w:t>Tiêu chí tổng quát</w:t>
            </w:r>
          </w:p>
        </w:tc>
        <w:tc>
          <w:tcPr>
            <w:tcW w:type="dxa" w:w="1500"/>
          </w:tcPr>
          <w:p>
            <w:pPr>
              <w:spacing w:before="0" w:after="60"/>
              <w:jc w:val="center"/>
            </w:pPr>
            <w:r>
              <w:rPr>
                <w:rFonts w:ascii="Times New Roman" w:hAnsi="Times New Roman" w:eastAsia="Times New Roman" w:cs="Times New Roman"/>
                <w:b w:val="0"/>
                <w:i w:val="0"/>
                <w:caps w:val="0"/>
                <w:color w:val="000000"/>
                <w:sz w:val="26"/>
              </w:rPr>
              <w:t>Điểm tối đa</w:t>
            </w:r>
          </w:p>
        </w:tc>
        <w:tc>
          <w:tcPr>
            <w:tcW w:type="dxa" w:w="1500"/>
          </w:tcPr>
          <w:p>
            <w:pPr>
              <w:spacing w:before="0" w:after="60"/>
              <w:jc w:val="center"/>
            </w:pPr>
            <w:r>
              <w:rPr>
                <w:rFonts w:ascii="Times New Roman" w:hAnsi="Times New Roman" w:eastAsia="Times New Roman" w:cs="Times New Roman"/>
                <w:b w:val="0"/>
                <w:i w:val="0"/>
                <w:caps w:val="0"/>
                <w:color w:val="000000"/>
                <w:sz w:val="26"/>
              </w:rPr>
              <w:t>Điểm tối thiểu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6000"/>
          </w:tcPr>
          <w:p>
            <w:pPr>
              <w:spacing w:before="0" w:after="60"/>
              <w:jc w:val="left"/>
            </w:pPr>
            <w:r>
              <w:rPr>
                <w:rFonts w:ascii="Times New Roman" w:hAnsi="Times New Roman" w:eastAsia="Times New Roman" w:cs="Times New Roman"/>
                <w:b w:val="0"/>
                <w:i w:val="0"/>
                <w:caps w:val="0"/>
                <w:color w:val="000000"/>
                <w:sz w:val="26"/>
              </w:rPr>
              <w:t>Hiểu biết mục tiêu dự án và giải pháp kỹ thuật tổng thể, gồm giải pháp đáp ứng các yêu cầu phi chức năng</w:t>
            </w:r>
          </w:p>
        </w:tc>
        <w:tc>
          <w:tcPr>
            <w:tcW w:type="dxa" w:w="1500"/>
          </w:tcPr>
          <w:p>
            <w:pPr>
              <w:spacing w:before="0" w:after="60"/>
              <w:jc w:val="center"/>
            </w:pPr>
            <w:r>
              <w:rPr>
                <w:rFonts w:ascii="Times New Roman" w:hAnsi="Times New Roman" w:eastAsia="Times New Roman" w:cs="Times New Roman"/>
                <w:b w:val="0"/>
                <w:i w:val="0"/>
                <w:caps w:val="0"/>
                <w:color w:val="000000"/>
                <w:sz w:val="26"/>
              </w:rPr>
              <w:t>30</w:t>
            </w:r>
          </w:p>
        </w:tc>
        <w:tc>
          <w:tcPr>
            <w:tcW w:type="dxa" w:w="1500"/>
          </w:tcPr>
          <w:p>
            <w:pPr>
              <w:spacing w:before="0" w:after="60"/>
              <w:jc w:val="center"/>
            </w:pPr>
            <w:r>
              <w:rPr>
                <w:rFonts w:ascii="Times New Roman" w:hAnsi="Times New Roman" w:eastAsia="Times New Roman" w:cs="Times New Roman"/>
                <w:b w:val="0"/>
                <w:i w:val="0"/>
                <w:caps w:val="0"/>
                <w:color w:val="000000"/>
                <w:sz w:val="26"/>
              </w:rPr>
              <w:t>18</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6000"/>
          </w:tcPr>
          <w:p>
            <w:pPr>
              <w:spacing w:before="0" w:after="60"/>
              <w:jc w:val="left"/>
            </w:pPr>
            <w:r>
              <w:rPr>
                <w:rFonts w:ascii="Times New Roman" w:hAnsi="Times New Roman" w:eastAsia="Times New Roman" w:cs="Times New Roman"/>
                <w:b w:val="0"/>
                <w:i w:val="0"/>
                <w:caps w:val="0"/>
                <w:color w:val="000000"/>
                <w:sz w:val="26"/>
              </w:rPr>
              <w:t>Phạm vi công việc, sản phẩm bàn giao, phương pháp thực hiện và bảo đảm chất lượng</w:t>
            </w:r>
          </w:p>
        </w:tc>
        <w:tc>
          <w:tcPr>
            <w:tcW w:type="dxa" w:w="1500"/>
          </w:tcPr>
          <w:p>
            <w:pPr>
              <w:spacing w:before="0" w:after="60"/>
              <w:jc w:val="center"/>
            </w:pPr>
            <w:r>
              <w:rPr>
                <w:rFonts w:ascii="Times New Roman" w:hAnsi="Times New Roman" w:eastAsia="Times New Roman" w:cs="Times New Roman"/>
                <w:b w:val="0"/>
                <w:i w:val="0"/>
                <w:caps w:val="0"/>
                <w:color w:val="000000"/>
                <w:sz w:val="26"/>
              </w:rPr>
              <w:t>20</w:t>
            </w:r>
          </w:p>
        </w:tc>
        <w:tc>
          <w:tcPr>
            <w:tcW w:type="dxa" w:w="1500"/>
          </w:tcPr>
          <w:p>
            <w:pPr>
              <w:spacing w:before="0" w:after="60"/>
              <w:jc w:val="center"/>
            </w:pPr>
            <w:r>
              <w:rPr>
                <w:rFonts w:ascii="Times New Roman" w:hAnsi="Times New Roman" w:eastAsia="Times New Roman" w:cs="Times New Roman"/>
                <w:b w:val="0"/>
                <w:i w:val="0"/>
                <w:caps w:val="0"/>
                <w:color w:val="000000"/>
                <w:sz w:val="26"/>
              </w:rPr>
              <w:t>12</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6000"/>
          </w:tcPr>
          <w:p>
            <w:pPr>
              <w:spacing w:before="0" w:after="60"/>
              <w:jc w:val="left"/>
            </w:pPr>
            <w:r>
              <w:rPr>
                <w:rFonts w:ascii="Times New Roman" w:hAnsi="Times New Roman" w:eastAsia="Times New Roman" w:cs="Times New Roman"/>
                <w:b w:val="0"/>
                <w:i w:val="0"/>
                <w:caps w:val="0"/>
                <w:color w:val="000000"/>
                <w:sz w:val="26"/>
              </w:rPr>
              <w:t>Kế hoạch, tiến độ đến ngày cut over, tổ chức thực hiện và nhân sự</w:t>
            </w:r>
          </w:p>
        </w:tc>
        <w:tc>
          <w:tcPr>
            <w:tcW w:type="dxa" w:w="1500"/>
          </w:tcPr>
          <w:p>
            <w:pPr>
              <w:spacing w:before="0" w:after="60"/>
              <w:jc w:val="center"/>
            </w:pPr>
            <w:r>
              <w:rPr>
                <w:rFonts w:ascii="Times New Roman" w:hAnsi="Times New Roman" w:eastAsia="Times New Roman" w:cs="Times New Roman"/>
                <w:b w:val="0"/>
                <w:i w:val="0"/>
                <w:caps w:val="0"/>
                <w:color w:val="000000"/>
                <w:sz w:val="26"/>
              </w:rPr>
              <w:t>20</w:t>
            </w:r>
          </w:p>
        </w:tc>
        <w:tc>
          <w:tcPr>
            <w:tcW w:type="dxa" w:w="1500"/>
          </w:tcPr>
          <w:p>
            <w:pPr>
              <w:spacing w:before="0" w:after="60"/>
              <w:jc w:val="center"/>
            </w:pPr>
            <w:r>
              <w:rPr>
                <w:rFonts w:ascii="Times New Roman" w:hAnsi="Times New Roman" w:eastAsia="Times New Roman" w:cs="Times New Roman"/>
                <w:b w:val="0"/>
                <w:i w:val="0"/>
                <w:caps w:val="0"/>
                <w:color w:val="000000"/>
                <w:sz w:val="26"/>
              </w:rPr>
              <w:t>12</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6000"/>
          </w:tcPr>
          <w:p>
            <w:pPr>
              <w:spacing w:before="0" w:after="60"/>
              <w:jc w:val="left"/>
            </w:pPr>
            <w:r>
              <w:rPr>
                <w:rFonts w:ascii="Times New Roman" w:hAnsi="Times New Roman" w:eastAsia="Times New Roman" w:cs="Times New Roman"/>
                <w:b w:val="0"/>
                <w:i w:val="0"/>
                <w:caps w:val="0"/>
                <w:color w:val="000000"/>
                <w:sz w:val="26"/>
              </w:rPr>
              <w:t>Vai trò và trách nhiệm, quản lý thay đổi, quản lý rủi ro và khắc phục sai sót</w:t>
            </w:r>
          </w:p>
        </w:tc>
        <w:tc>
          <w:tcPr>
            <w:tcW w:type="dxa" w:w="1500"/>
          </w:tcPr>
          <w:p>
            <w:pPr>
              <w:spacing w:before="0" w:after="60"/>
              <w:jc w:val="center"/>
            </w:pPr>
            <w:r>
              <w:rPr>
                <w:rFonts w:ascii="Times New Roman" w:hAnsi="Times New Roman" w:eastAsia="Times New Roman" w:cs="Times New Roman"/>
                <w:b w:val="0"/>
                <w:i w:val="0"/>
                <w:caps w:val="0"/>
                <w:color w:val="000000"/>
                <w:sz w:val="26"/>
              </w:rPr>
              <w:t>15</w:t>
            </w:r>
          </w:p>
        </w:tc>
        <w:tc>
          <w:tcPr>
            <w:tcW w:type="dxa" w:w="1500"/>
          </w:tcPr>
          <w:p>
            <w:pPr>
              <w:spacing w:before="0" w:after="60"/>
              <w:jc w:val="center"/>
            </w:pPr>
            <w:r>
              <w:rPr>
                <w:rFonts w:ascii="Times New Roman" w:hAnsi="Times New Roman" w:eastAsia="Times New Roman" w:cs="Times New Roman"/>
                <w:b w:val="0"/>
                <w:i w:val="0"/>
                <w:caps w:val="0"/>
                <w:color w:val="000000"/>
                <w:sz w:val="26"/>
              </w:rPr>
              <w:t>9</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6000"/>
          </w:tcPr>
          <w:p>
            <w:pPr>
              <w:spacing w:before="0" w:after="60"/>
              <w:jc w:val="left"/>
            </w:pPr>
            <w:r>
              <w:rPr>
                <w:rFonts w:ascii="Times New Roman" w:hAnsi="Times New Roman" w:eastAsia="Times New Roman" w:cs="Times New Roman"/>
                <w:b w:val="0"/>
                <w:i w:val="0"/>
                <w:caps w:val="0"/>
                <w:color w:val="000000"/>
                <w:sz w:val="26"/>
              </w:rPr>
              <w:t>Đề xuất khác có lợi cho thành công của dự án và thông tin về kết quả thực hiện hợp đồng của nhà thầu theo Điều 19 và Điều 20 của Nghị định số 214/2025/NĐ-CP</w:t>
            </w:r>
          </w:p>
        </w:tc>
        <w:tc>
          <w:tcPr>
            <w:tcW w:type="dxa" w:w="1500"/>
          </w:tcPr>
          <w:p>
            <w:pPr>
              <w:spacing w:before="0" w:after="60"/>
              <w:jc w:val="center"/>
            </w:pPr>
            <w:r>
              <w:rPr>
                <w:rFonts w:ascii="Times New Roman" w:hAnsi="Times New Roman" w:eastAsia="Times New Roman" w:cs="Times New Roman"/>
                <w:b w:val="0"/>
                <w:i w:val="0"/>
                <w:caps w:val="0"/>
                <w:color w:val="000000"/>
                <w:sz w:val="26"/>
              </w:rPr>
              <w:t>15</w:t>
            </w:r>
          </w:p>
        </w:tc>
        <w:tc>
          <w:tcPr>
            <w:tcW w:type="dxa" w:w="1500"/>
          </w:tcPr>
          <w:p>
            <w:pPr>
              <w:spacing w:before="0" w:after="60"/>
              <w:jc w:val="center"/>
            </w:pPr>
            <w:r>
              <w:rPr>
                <w:rFonts w:ascii="Times New Roman" w:hAnsi="Times New Roman" w:eastAsia="Times New Roman" w:cs="Times New Roman"/>
                <w:b w:val="0"/>
                <w:i w:val="0"/>
                <w:caps w:val="0"/>
                <w:color w:val="000000"/>
                <w:sz w:val="26"/>
              </w:rPr>
              <w:t>9</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r>
          </w:p>
        </w:tc>
        <w:tc>
          <w:tcPr>
            <w:tcW w:type="dxa" w:w="6000"/>
          </w:tcPr>
          <w:p>
            <w:pPr>
              <w:spacing w:before="0" w:after="60"/>
              <w:jc w:val="left"/>
            </w:pPr>
            <w:r>
              <w:rPr>
                <w:rFonts w:ascii="Times New Roman" w:hAnsi="Times New Roman" w:eastAsia="Times New Roman" w:cs="Times New Roman"/>
                <w:b w:val="0"/>
                <w:i w:val="0"/>
                <w:caps w:val="0"/>
                <w:color w:val="000000"/>
                <w:sz w:val="26"/>
              </w:rPr>
              <w:t>Tổng cộng</w:t>
            </w:r>
          </w:p>
        </w:tc>
        <w:tc>
          <w:tcPr>
            <w:tcW w:type="dxa" w:w="1500"/>
          </w:tcPr>
          <w:p>
            <w:pPr>
              <w:spacing w:before="0" w:after="60"/>
              <w:jc w:val="center"/>
            </w:pPr>
            <w:r>
              <w:rPr>
                <w:rFonts w:ascii="Times New Roman" w:hAnsi="Times New Roman" w:eastAsia="Times New Roman" w:cs="Times New Roman"/>
                <w:b w:val="0"/>
                <w:i w:val="0"/>
                <w:caps w:val="0"/>
                <w:color w:val="000000"/>
                <w:sz w:val="26"/>
              </w:rPr>
              <w:t>100</w:t>
            </w:r>
          </w:p>
        </w:tc>
        <w:tc>
          <w:tcPr>
            <w:tcW w:type="dxa" w:w="1500"/>
          </w:tcPr>
          <w:p>
            <w:pPr>
              <w:spacing w:before="0" w:after="60"/>
              <w:jc w:val="center"/>
            </w:pPr>
            <w:r>
              <w:rPr>
                <w:rFonts w:ascii="Times New Roman" w:hAnsi="Times New Roman" w:eastAsia="Times New Roman" w:cs="Times New Roman"/>
                <w:b w:val="0"/>
                <w:i w:val="0"/>
                <w:caps w:val="0"/>
                <w:color w:val="000000"/>
                <w:sz w:val="26"/>
              </w:rPr>
              <w:t>70</w:t>
            </w:r>
          </w:p>
        </w:tc>
      </w:tr>
    </w:tbl>
    <w:p>
      <w:pPr>
        <w:spacing w:before="0" w:after="100" w:line="300" w:lineRule="auto"/>
        <w:jc w:val="both"/>
      </w:pPr>
      <w:r>
        <w:rPr>
          <w:rFonts w:ascii="Times New Roman" w:hAnsi="Times New Roman" w:eastAsia="Times New Roman" w:cs="Times New Roman"/>
          <w:b w:val="0"/>
          <w:i w:val="0"/>
          <w:caps w:val="0"/>
          <w:color w:val="000000"/>
          <w:sz w:val="26"/>
        </w:rPr>
        <w:t>Điểm của mỗi tiêu chí tổng quát bằng tổng điểm của các tiêu chí chi tiết thuộc tiêu chí đó, chấm theo các mức nêu tại Bảng tiêu chí chi tiết dưới đây. Tổng điểm kỹ thuật bằng tổng điểm của các tiêu chí tổng quát. Cách tính này tương đương công thức tại Mục 3.1 Chương III Mẫu số 5A, trong đó tỷ trọng của mỗi tiêu chí chi tiết bằng điểm tối đa của tiêu chí chi tiết chia cho điểm tối đa của tiêu chí tổng quát chứa nó.</w:t>
      </w:r>
    </w:p>
    <w:p>
      <w:pPr>
        <w:spacing w:before="0" w:after="100" w:line="300" w:lineRule="auto"/>
        <w:jc w:val="both"/>
      </w:pPr>
      <w:r>
        <w:rPr>
          <w:rFonts w:ascii="Times New Roman" w:hAnsi="Times New Roman" w:eastAsia="Times New Roman" w:cs="Times New Roman"/>
          <w:b w:val="0"/>
          <w:i w:val="0"/>
          <w:caps w:val="0"/>
          <w:color w:val="000000"/>
          <w:sz w:val="26"/>
        </w:rPr>
        <w:t>Tiêu chí chi tiết cơ bản được đánh dấu tại cột Tiêu chí cơ bản. Mức điểm tối thiểu chỉ quy định đối với tiêu chí chi tiết cơ bản.</w:t>
      </w:r>
    </w:p>
    <w:p>
      <w:pPr>
        <w:spacing w:before="0" w:after="100" w:line="300" w:lineRule="auto"/>
        <w:jc w:val="both"/>
      </w:pPr>
      <w:r>
        <w:rPr>
          <w:rFonts w:ascii="Times New Roman" w:hAnsi="Times New Roman" w:eastAsia="Times New Roman" w:cs="Times New Roman"/>
          <w:b w:val="0"/>
          <w:i w:val="0"/>
          <w:caps w:val="0"/>
          <w:color w:val="000000"/>
          <w:sz w:val="26"/>
        </w:rPr>
        <w:t>Bảng tiêu chí chi tiết</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700"/>
        <w:gridCol w:w="3300"/>
        <w:gridCol w:w="900"/>
        <w:gridCol w:w="1100"/>
        <w:gridCol w:w="3600"/>
      </w:tblGrid>
      <w:tr>
        <w:trPr>
          <w:tblHeader/>
        </w:trPr>
        <w:tc>
          <w:tcPr>
            <w:tcW w:type="dxa" w:w="700"/>
          </w:tcPr>
          <w:p>
            <w:pPr>
              <w:spacing w:before="0" w:after="60"/>
              <w:jc w:val="center"/>
            </w:pPr>
            <w:r>
              <w:rPr>
                <w:rFonts w:ascii="Times New Roman" w:hAnsi="Times New Roman" w:eastAsia="Times New Roman" w:cs="Times New Roman"/>
                <w:b w:val="0"/>
                <w:i w:val="0"/>
                <w:caps w:val="0"/>
                <w:color w:val="000000"/>
                <w:sz w:val="26"/>
              </w:rPr>
              <w:t>STT</w:t>
            </w:r>
          </w:p>
        </w:tc>
        <w:tc>
          <w:tcPr>
            <w:tcW w:type="dxa" w:w="3300"/>
          </w:tcPr>
          <w:p>
            <w:pPr>
              <w:spacing w:before="0" w:after="60"/>
              <w:jc w:val="left"/>
            </w:pPr>
            <w:r>
              <w:rPr>
                <w:rFonts w:ascii="Times New Roman" w:hAnsi="Times New Roman" w:eastAsia="Times New Roman" w:cs="Times New Roman"/>
                <w:b w:val="0"/>
                <w:i w:val="0"/>
                <w:caps w:val="0"/>
                <w:color w:val="000000"/>
                <w:sz w:val="26"/>
              </w:rPr>
              <w:t>Tiêu chí chi tiết</w:t>
            </w:r>
          </w:p>
        </w:tc>
        <w:tc>
          <w:tcPr>
            <w:tcW w:type="dxa" w:w="900"/>
          </w:tcPr>
          <w:p>
            <w:pPr>
              <w:spacing w:before="0" w:after="60"/>
              <w:jc w:val="center"/>
            </w:pPr>
            <w:r>
              <w:rPr>
                <w:rFonts w:ascii="Times New Roman" w:hAnsi="Times New Roman" w:eastAsia="Times New Roman" w:cs="Times New Roman"/>
                <w:b w:val="0"/>
                <w:i w:val="0"/>
                <w:caps w:val="0"/>
                <w:color w:val="000000"/>
                <w:sz w:val="26"/>
              </w:rPr>
              <w:t>Điểm tối đa</w:t>
            </w:r>
          </w:p>
        </w:tc>
        <w:tc>
          <w:tcPr>
            <w:tcW w:type="dxa" w:w="1100"/>
          </w:tcPr>
          <w:p>
            <w:pPr>
              <w:spacing w:before="0" w:after="60"/>
              <w:jc w:val="center"/>
            </w:pPr>
            <w:r>
              <w:rPr>
                <w:rFonts w:ascii="Times New Roman" w:hAnsi="Times New Roman" w:eastAsia="Times New Roman" w:cs="Times New Roman"/>
                <w:b w:val="0"/>
                <w:i w:val="0"/>
                <w:caps w:val="0"/>
                <w:color w:val="000000"/>
                <w:sz w:val="26"/>
              </w:rPr>
              <w:t>Tiêu chí cơ bản</w:t>
            </w:r>
          </w:p>
        </w:tc>
        <w:tc>
          <w:tcPr>
            <w:tcW w:type="dxa" w:w="3600"/>
          </w:tcPr>
          <w:p>
            <w:pPr>
              <w:spacing w:before="0" w:after="60"/>
              <w:jc w:val="left"/>
            </w:pPr>
            <w:r>
              <w:rPr>
                <w:rFonts w:ascii="Times New Roman" w:hAnsi="Times New Roman" w:eastAsia="Times New Roman" w:cs="Times New Roman"/>
                <w:b w:val="0"/>
                <w:i w:val="0"/>
                <w:caps w:val="0"/>
                <w:color w:val="000000"/>
                <w:sz w:val="26"/>
              </w:rPr>
              <w:t>Mức chấm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w:t>
            </w:r>
          </w:p>
        </w:tc>
        <w:tc>
          <w:tcPr>
            <w:tcW w:type="dxa" w:w="3300"/>
          </w:tcPr>
          <w:p>
            <w:pPr>
              <w:spacing w:before="0" w:after="60"/>
              <w:jc w:val="left"/>
            </w:pPr>
            <w:r>
              <w:rPr>
                <w:rFonts w:ascii="Times New Roman" w:hAnsi="Times New Roman" w:eastAsia="Times New Roman" w:cs="Times New Roman"/>
                <w:b w:val="0"/>
                <w:i w:val="0"/>
                <w:caps w:val="0"/>
                <w:color w:val="000000"/>
                <w:sz w:val="26"/>
              </w:rPr>
              <w:t>Hiểu biết mục tiêu dự án và giải pháp kỹ thuật tổng thể, gồm giải pháp đáp ứng các yêu cầu phi chức năng</w:t>
            </w:r>
          </w:p>
        </w:tc>
        <w:tc>
          <w:tcPr>
            <w:tcW w:type="dxa" w:w="900"/>
          </w:tcPr>
          <w:p>
            <w:pPr>
              <w:spacing w:before="0" w:after="60"/>
              <w:jc w:val="center"/>
            </w:pPr>
            <w:r>
              <w:rPr>
                <w:rFonts w:ascii="Times New Roman" w:hAnsi="Times New Roman" w:eastAsia="Times New Roman" w:cs="Times New Roman"/>
                <w:b w:val="0"/>
                <w:i w:val="0"/>
                <w:caps w:val="0"/>
                <w:color w:val="000000"/>
                <w:sz w:val="26"/>
              </w:rPr>
              <w:t>30</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18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1.1</w:t>
            </w:r>
          </w:p>
        </w:tc>
        <w:tc>
          <w:tcPr>
            <w:tcW w:type="dxa" w:w="3300"/>
          </w:tcPr>
          <w:p>
            <w:pPr>
              <w:spacing w:before="0" w:after="60"/>
              <w:jc w:val="left"/>
            </w:pPr>
            <w:r>
              <w:rPr>
                <w:rFonts w:ascii="Times New Roman" w:hAnsi="Times New Roman" w:eastAsia="Times New Roman" w:cs="Times New Roman"/>
                <w:b w:val="0"/>
                <w:i w:val="0"/>
                <w:caps w:val="0"/>
                <w:color w:val="000000"/>
                <w:sz w:val="26"/>
              </w:rPr>
              <w:t>Hiểu biết mục tiêu dự án và mô hình hệ thống mới</w:t>
            </w:r>
          </w:p>
          <w:p>
            <w:pPr>
              <w:spacing w:before="0" w:after="60"/>
              <w:jc w:val="left"/>
            </w:pPr>
            <w:r>
              <w:rPr>
                <w:rFonts w:ascii="Times New Roman" w:hAnsi="Times New Roman" w:eastAsia="Times New Roman" w:cs="Times New Roman"/>
                <w:b w:val="0"/>
                <w:i w:val="0"/>
                <w:caps w:val="0"/>
                <w:color w:val="000000"/>
                <w:sz w:val="26"/>
              </w:rPr>
              <w:t>Mức độ hiểu mục tiêu mở rộng khách hàng qua internet, tạo kênh bán hàng mới (mục 2 Chương V), các chức năng, cơ sở dữ liệu bán hàng (Selling DB), hệ thống liên quan và chiều của các luồng dữ liệu (mục 3.1 Chương V), phần ngoài phạm vi (mục 3.2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(5 điểm): Phân tích đúng và đủ mục tiêu, các chức năng, Selling DB, Main System, nghiệp vụ vận chuyển và chiều của các luồng dữ liệu, chỉ ra ảnh hưởng của từng yếu tố tới giải pháp đề xuất.</w:t>
            </w:r>
          </w:p>
          <w:p>
            <w:pPr>
              <w:spacing w:before="0" w:after="60"/>
              <w:jc w:val="left"/>
            </w:pPr>
            <w:r>
              <w:rPr>
                <w:rFonts w:ascii="Times New Roman" w:hAnsi="Times New Roman" w:eastAsia="Times New Roman" w:cs="Times New Roman"/>
                <w:b w:val="0"/>
                <w:i w:val="0"/>
                <w:caps w:val="0"/>
                <w:color w:val="000000"/>
                <w:sz w:val="26"/>
              </w:rPr>
              <w:t>Đạt (4 điểm): Trình bày đúng và đủ mục tiêu, các thành phần và luồng dữ liệu nhưng chưa phân tích ảnh hưởng tới giải pháp đề xuất.</w:t>
            </w:r>
          </w:p>
          <w:p>
            <w:pPr>
              <w:spacing w:before="0" w:after="60"/>
              <w:jc w:val="left"/>
            </w:pPr>
            <w:r>
              <w:rPr>
                <w:rFonts w:ascii="Times New Roman" w:hAnsi="Times New Roman" w:eastAsia="Times New Roman" w:cs="Times New Roman"/>
                <w:b w:val="0"/>
                <w:i w:val="0"/>
                <w:caps w:val="0"/>
                <w:color w:val="000000"/>
                <w:sz w:val="26"/>
              </w:rPr>
              <w:t>Đạt một phần (2 điểm): Trình bày đúng mục tiêu nhưng thiếu một số thành phần hoặc luồng dữ liệu của mục 3.1 Chương V.</w:t>
            </w:r>
          </w:p>
          <w:p>
            <w:pPr>
              <w:spacing w:before="0" w:after="60"/>
              <w:jc w:val="left"/>
            </w:pPr>
            <w:r>
              <w:rPr>
                <w:rFonts w:ascii="Times New Roman" w:hAnsi="Times New Roman" w:eastAsia="Times New Roman" w:cs="Times New Roman"/>
                <w:b w:val="0"/>
                <w:i w:val="0"/>
                <w:caps w:val="0"/>
                <w:color w:val="000000"/>
                <w:sz w:val="26"/>
              </w:rPr>
              <w:t>Không đạt (0 điểm): Không trình bày hoặc hiểu sai mục tiêu, mô hình hệ thống mới.</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1.2</w:t>
            </w:r>
          </w:p>
        </w:tc>
        <w:tc>
          <w:tcPr>
            <w:tcW w:type="dxa" w:w="3300"/>
          </w:tcPr>
          <w:p>
            <w:pPr>
              <w:spacing w:before="0" w:after="60"/>
              <w:jc w:val="left"/>
            </w:pPr>
            <w:r>
              <w:rPr>
                <w:rFonts w:ascii="Times New Roman" w:hAnsi="Times New Roman" w:eastAsia="Times New Roman" w:cs="Times New Roman"/>
                <w:b w:val="0"/>
                <w:i w:val="0"/>
                <w:caps w:val="0"/>
                <w:color w:val="000000"/>
                <w:sz w:val="26"/>
              </w:rPr>
              <w:t>Giải pháp kiến trúc, công nghệ và tích hợp với Main System</w:t>
            </w:r>
          </w:p>
          <w:p>
            <w:pPr>
              <w:spacing w:before="0" w:after="60"/>
              <w:jc w:val="left"/>
            </w:pPr>
            <w:r>
              <w:rPr>
                <w:rFonts w:ascii="Times New Roman" w:hAnsi="Times New Roman" w:eastAsia="Times New Roman" w:cs="Times New Roman"/>
                <w:b w:val="0"/>
                <w:i w:val="0"/>
                <w:caps w:val="0"/>
                <w:color w:val="000000"/>
                <w:sz w:val="26"/>
              </w:rPr>
              <w:t>Kiến trúc ứng dụng, công nghệ, thiết kế Selling DB, phương án tích hợp với Main System, bảo mật dữ liệu khách hàng, sự phù hợp với phân định tại mục 3.5 Chương V về hạ tầng vận hành do Chủ đầu tư cung cấp, môi trường thử và thay đổi phía Main System (mục 3.1 và 3.5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7</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5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(7 điểm): Giải pháp đầy đủ, nhất quán về kiến trúc, công nghệ, Selling DB, tích hợp với Main System và bảo mật dữ liệu khách hàng, có lý do lựa chọn, có phương án dự phòng cho rủi ro tích hợp và phù hợp phân định tại mục 3.5 Chương V.</w:t>
            </w:r>
          </w:p>
          <w:p>
            <w:pPr>
              <w:spacing w:before="0" w:after="60"/>
              <w:jc w:val="left"/>
            </w:pPr>
            <w:r>
              <w:rPr>
                <w:rFonts w:ascii="Times New Roman" w:hAnsi="Times New Roman" w:eastAsia="Times New Roman" w:cs="Times New Roman"/>
                <w:b w:val="0"/>
                <w:i w:val="0"/>
                <w:caps w:val="0"/>
                <w:color w:val="000000"/>
                <w:sz w:val="26"/>
              </w:rPr>
              <w:t>Đạt (5 điểm): Giải pháp đủ các thành phần nêu trên, khả thi và phù hợp phân định tại mục 3.5 Chương V nhưng chưa nêu lý do lựa chọn hoặc phương án dự phòng cho rủi ro tích hợp.</w:t>
            </w:r>
          </w:p>
          <w:p>
            <w:pPr>
              <w:spacing w:before="0" w:after="60"/>
              <w:jc w:val="left"/>
            </w:pPr>
            <w:r>
              <w:rPr>
                <w:rFonts w:ascii="Times New Roman" w:hAnsi="Times New Roman" w:eastAsia="Times New Roman" w:cs="Times New Roman"/>
                <w:b w:val="0"/>
                <w:i w:val="0"/>
                <w:caps w:val="0"/>
                <w:color w:val="000000"/>
                <w:sz w:val="26"/>
              </w:rPr>
              <w:t>Đạt một phần (3 điểm): Thiếu một trong các thành phần kiến trúc, tích hợp với Main System, bảo mật dữ liệu khách hàng, hoặc giải pháp chưa phù hợp phân định tại mục 3.5 Chương V.</w:t>
            </w:r>
          </w:p>
          <w:p>
            <w:pPr>
              <w:spacing w:before="0" w:after="60"/>
              <w:jc w:val="left"/>
            </w:pPr>
            <w:r>
              <w:rPr>
                <w:rFonts w:ascii="Times New Roman" w:hAnsi="Times New Roman" w:eastAsia="Times New Roman" w:cs="Times New Roman"/>
                <w:b w:val="0"/>
                <w:i w:val="0"/>
                <w:caps w:val="0"/>
                <w:color w:val="000000"/>
                <w:sz w:val="26"/>
              </w:rPr>
              <w:t>Không đạt (0 điểm): Không có giải pháp hoặc giải pháp không khả thi.</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1.3</w:t>
            </w:r>
          </w:p>
        </w:tc>
        <w:tc>
          <w:tcPr>
            <w:tcW w:type="dxa" w:w="3300"/>
          </w:tcPr>
          <w:p>
            <w:pPr>
              <w:spacing w:before="0" w:after="60"/>
              <w:jc w:val="left"/>
            </w:pPr>
            <w:r>
              <w:rPr>
                <w:rFonts w:ascii="Times New Roman" w:hAnsi="Times New Roman" w:eastAsia="Times New Roman" w:cs="Times New Roman"/>
                <w:b w:val="0"/>
                <w:i w:val="0"/>
                <w:caps w:val="0"/>
                <w:color w:val="000000"/>
                <w:sz w:val="26"/>
              </w:rPr>
              <w:t>Giải pháp bảo đảm hệ thống hoạt động liên tục 24 giờ mỗi ngày, 365 ngày mỗi năm</w:t>
            </w:r>
          </w:p>
          <w:p>
            <w:pPr>
              <w:spacing w:before="0" w:after="60"/>
              <w:jc w:val="left"/>
            </w:pPr>
            <w:r>
              <w:rPr>
                <w:rFonts w:ascii="Times New Roman" w:hAnsi="Times New Roman" w:eastAsia="Times New Roman" w:cs="Times New Roman"/>
                <w:b w:val="0"/>
                <w:i w:val="0"/>
                <w:caps w:val="0"/>
                <w:color w:val="000000"/>
                <w:sz w:val="26"/>
              </w:rPr>
              <w:t>Giải pháp bảo đảm tính sẵn sàng, dự phòng, sao lưu và phục hồi, giám sát, bảo trì không làm gián đoạn dịch vụ, đề xuất cách tính thời gian hoạt động liên tục làm điều kiện đo (mục 3.4 và 3.5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6</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(6 điểm): Giải pháp đủ các nội dung nêu trên, có cách tính thời gian hoạt động liên tục, điều kiện đo rõ ràng và phương án kiểm thử chứng minh trước khi đưa hệ thống vào vận hành.</w:t>
            </w:r>
          </w:p>
          <w:p>
            <w:pPr>
              <w:spacing w:before="0" w:after="60"/>
              <w:jc w:val="left"/>
            </w:pPr>
            <w:r>
              <w:rPr>
                <w:rFonts w:ascii="Times New Roman" w:hAnsi="Times New Roman" w:eastAsia="Times New Roman" w:cs="Times New Roman"/>
                <w:b w:val="0"/>
                <w:i w:val="0"/>
                <w:caps w:val="0"/>
                <w:color w:val="000000"/>
                <w:sz w:val="26"/>
              </w:rPr>
              <w:t>Đạt (4 điểm): Giải pháp đủ các nội dung nêu trên, có điều kiện đo nhưng phương án kiểm thử chứng minh chưa cụ thể.</w:t>
            </w:r>
          </w:p>
          <w:p>
            <w:pPr>
              <w:spacing w:before="0" w:after="60"/>
              <w:jc w:val="left"/>
            </w:pPr>
            <w:r>
              <w:rPr>
                <w:rFonts w:ascii="Times New Roman" w:hAnsi="Times New Roman" w:eastAsia="Times New Roman" w:cs="Times New Roman"/>
                <w:b w:val="0"/>
                <w:i w:val="0"/>
                <w:caps w:val="0"/>
                <w:color w:val="000000"/>
                <w:sz w:val="26"/>
              </w:rPr>
              <w:t>Đạt một phần (2 điểm): Giải pháp thiếu dự phòng, sao lưu hoặc giám sát, hoặc không đề xuất điều kiện đo.</w:t>
            </w:r>
          </w:p>
          <w:p>
            <w:pPr>
              <w:spacing w:before="0" w:after="60"/>
              <w:jc w:val="left"/>
            </w:pPr>
            <w:r>
              <w:rPr>
                <w:rFonts w:ascii="Times New Roman" w:hAnsi="Times New Roman" w:eastAsia="Times New Roman" w:cs="Times New Roman"/>
                <w:b w:val="0"/>
                <w:i w:val="0"/>
                <w:caps w:val="0"/>
                <w:color w:val="000000"/>
                <w:sz w:val="26"/>
              </w:rPr>
              <w:t>Không đạt (0 điểm): Không có giải pháp hoặc giải pháp không đáp ứng yêu cầu hoạt động liên tục 24 giờ mỗi ngày, 365 ngày mỗi năm.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1.4</w:t>
            </w:r>
          </w:p>
        </w:tc>
        <w:tc>
          <w:tcPr>
            <w:tcW w:type="dxa" w:w="3300"/>
          </w:tcPr>
          <w:p>
            <w:pPr>
              <w:spacing w:before="0" w:after="60"/>
              <w:jc w:val="left"/>
            </w:pPr>
            <w:r>
              <w:rPr>
                <w:rFonts w:ascii="Times New Roman" w:hAnsi="Times New Roman" w:eastAsia="Times New Roman" w:cs="Times New Roman"/>
                <w:b w:val="0"/>
                <w:i w:val="0"/>
                <w:caps w:val="0"/>
                <w:color w:val="000000"/>
                <w:sz w:val="26"/>
              </w:rPr>
              <w:t>Giải pháp bảo đảm thời gian phản hồi không quá 2 giây</w:t>
            </w:r>
          </w:p>
          <w:p>
            <w:pPr>
              <w:spacing w:before="0" w:after="60"/>
              <w:jc w:val="left"/>
            </w:pPr>
            <w:r>
              <w:rPr>
                <w:rFonts w:ascii="Times New Roman" w:hAnsi="Times New Roman" w:eastAsia="Times New Roman" w:cs="Times New Roman"/>
                <w:b w:val="0"/>
                <w:i w:val="0"/>
                <w:caps w:val="0"/>
                <w:color w:val="000000"/>
                <w:sz w:val="26"/>
              </w:rPr>
              <w:t>Giải pháp hiệu năng cho các thao tác tìm kiếm sản phẩm, quản lý thành viên, đặt hàng và truy cập Selling DB, đề xuất điều kiện đo (tải, số người dùng đồng thời, điểm đo) và phương pháp kiểm thử hiệu năng (mục 3.4 và 3.5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6</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(6 điểm): Giải pháp hiệu năng cụ thể cho từng chức năng, điều kiện đo rõ ràng về tải, số người dùng đồng thời, điểm đo và phương pháp kiểm thử hiệu năng có tiêu chí đạt.</w:t>
            </w:r>
          </w:p>
          <w:p>
            <w:pPr>
              <w:spacing w:before="0" w:after="60"/>
              <w:jc w:val="left"/>
            </w:pPr>
            <w:r>
              <w:rPr>
                <w:rFonts w:ascii="Times New Roman" w:hAnsi="Times New Roman" w:eastAsia="Times New Roman" w:cs="Times New Roman"/>
                <w:b w:val="0"/>
                <w:i w:val="0"/>
                <w:caps w:val="0"/>
                <w:color w:val="000000"/>
                <w:sz w:val="26"/>
              </w:rPr>
              <w:t>Đạt (4 điểm): Giải pháp hiệu năng phù hợp, có điều kiện đo nhưng phương pháp kiểm thử hiệu năng chưa cụ thể.</w:t>
            </w:r>
          </w:p>
          <w:p>
            <w:pPr>
              <w:spacing w:before="0" w:after="60"/>
              <w:jc w:val="left"/>
            </w:pPr>
            <w:r>
              <w:rPr>
                <w:rFonts w:ascii="Times New Roman" w:hAnsi="Times New Roman" w:eastAsia="Times New Roman" w:cs="Times New Roman"/>
                <w:b w:val="0"/>
                <w:i w:val="0"/>
                <w:caps w:val="0"/>
                <w:color w:val="000000"/>
                <w:sz w:val="26"/>
              </w:rPr>
              <w:t>Đạt một phần (2 điểm): Giải pháp nêu chung, không gắn với các chức năng, hoặc không đề xuất điều kiện đo.</w:t>
            </w:r>
          </w:p>
          <w:p>
            <w:pPr>
              <w:spacing w:before="0" w:after="60"/>
              <w:jc w:val="left"/>
            </w:pPr>
            <w:r>
              <w:rPr>
                <w:rFonts w:ascii="Times New Roman" w:hAnsi="Times New Roman" w:eastAsia="Times New Roman" w:cs="Times New Roman"/>
                <w:b w:val="0"/>
                <w:i w:val="0"/>
                <w:caps w:val="0"/>
                <w:color w:val="000000"/>
                <w:sz w:val="26"/>
              </w:rPr>
              <w:t>Không đạt (0 điểm): Không có giải pháp hoặc giải pháp không đáp ứng thời gian phản hồi không quá 2 giây.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1.5</w:t>
            </w:r>
          </w:p>
        </w:tc>
        <w:tc>
          <w:tcPr>
            <w:tcW w:type="dxa" w:w="3300"/>
          </w:tcPr>
          <w:p>
            <w:pPr>
              <w:spacing w:before="0" w:after="60"/>
              <w:jc w:val="left"/>
            </w:pPr>
            <w:r>
              <w:rPr>
                <w:rFonts w:ascii="Times New Roman" w:hAnsi="Times New Roman" w:eastAsia="Times New Roman" w:cs="Times New Roman"/>
                <w:b w:val="0"/>
                <w:i w:val="0"/>
                <w:caps w:val="0"/>
                <w:color w:val="000000"/>
                <w:sz w:val="26"/>
              </w:rPr>
              <w:t>Giải pháp giao diện giúp khách hàng thao tác dễ dàng (Easy Operation for the Customer)</w:t>
            </w:r>
          </w:p>
          <w:p>
            <w:pPr>
              <w:spacing w:before="0" w:after="60"/>
              <w:jc w:val="left"/>
            </w:pPr>
            <w:r>
              <w:rPr>
                <w:rFonts w:ascii="Times New Roman" w:hAnsi="Times New Roman" w:eastAsia="Times New Roman" w:cs="Times New Roman"/>
                <w:b w:val="0"/>
                <w:i w:val="0"/>
                <w:caps w:val="0"/>
                <w:color w:val="000000"/>
                <w:sz w:val="26"/>
              </w:rPr>
              <w:t>Nguyên tắc thiết kế giao diện, trình tự thao tác tìm kiếm sản phẩm, đăng ký thành viên và đặt hàng, sơ đồ phân cấp menu dự kiến, cách đánh giá mức độ thao tác dễ dàng của khách hàng (mục 2 và 3.4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Có nguyên tắc thiết kế, trình tự thao tác rút gọn cho cả ba chức năng, menu dự kiến và cách đánh giá mức độ thao tác dễ dàng có sự tham gia của Chủ đầu tư.</w:t>
            </w:r>
          </w:p>
          <w:p>
            <w:pPr>
              <w:spacing w:before="0" w:after="60"/>
              <w:jc w:val="left"/>
            </w:pPr>
            <w:r>
              <w:rPr>
                <w:rFonts w:ascii="Times New Roman" w:hAnsi="Times New Roman" w:eastAsia="Times New Roman" w:cs="Times New Roman"/>
                <w:b w:val="0"/>
                <w:i w:val="0"/>
                <w:caps w:val="0"/>
                <w:color w:val="000000"/>
                <w:sz w:val="26"/>
              </w:rPr>
              <w:t>Đạt (3 điểm): Có nguyên tắc thiết kế và trình tự thao tác cho cả ba chức năng nhưng chưa có cách đánh giá mức độ thao tác dễ dàng.</w:t>
            </w:r>
          </w:p>
          <w:p>
            <w:pPr>
              <w:spacing w:before="0" w:after="60"/>
              <w:jc w:val="left"/>
            </w:pPr>
            <w:r>
              <w:rPr>
                <w:rFonts w:ascii="Times New Roman" w:hAnsi="Times New Roman" w:eastAsia="Times New Roman" w:cs="Times New Roman"/>
                <w:b w:val="0"/>
                <w:i w:val="0"/>
                <w:caps w:val="0"/>
                <w:color w:val="000000"/>
                <w:sz w:val="26"/>
              </w:rPr>
              <w:t>Đạt một phần (1 điểm): Chỉ nêu nguyên tắc chung, chưa gắn với các chức năng của hệ thống.</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1.6</w:t>
            </w:r>
          </w:p>
        </w:tc>
        <w:tc>
          <w:tcPr>
            <w:tcW w:type="dxa" w:w="3300"/>
          </w:tcPr>
          <w:p>
            <w:pPr>
              <w:spacing w:before="0" w:after="60"/>
              <w:jc w:val="left"/>
            </w:pPr>
            <w:r>
              <w:rPr>
                <w:rFonts w:ascii="Times New Roman" w:hAnsi="Times New Roman" w:eastAsia="Times New Roman" w:cs="Times New Roman"/>
                <w:b w:val="0"/>
                <w:i w:val="0"/>
                <w:caps w:val="0"/>
                <w:color w:val="000000"/>
                <w:sz w:val="26"/>
              </w:rPr>
              <w:t>Điều kiện tiền đề (Precondition) của giải pháp</w:t>
            </w:r>
          </w:p>
          <w:p>
            <w:pPr>
              <w:spacing w:before="0" w:after="60"/>
              <w:jc w:val="left"/>
            </w:pPr>
            <w:r>
              <w:rPr>
                <w:rFonts w:ascii="Times New Roman" w:hAnsi="Times New Roman" w:eastAsia="Times New Roman" w:cs="Times New Roman"/>
                <w:b w:val="0"/>
                <w:i w:val="0"/>
                <w:caps w:val="0"/>
                <w:color w:val="000000"/>
                <w:sz w:val="26"/>
              </w:rPr>
              <w:t>Mức độ rõ ràng của các điều kiện tiền đề và giả định kỹ thuật mà giải pháp dựa vào, sự nhất quán với phân định trách nhiệm và giả định tại mục 3.5 Chương V (mục 3.5 và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2</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Đạt đủ (2 điểm): Nêu rõ từng điều kiện tiền đề, gắn với nội dung của giải pháp, nhất quán với mục 3.5 Chương V và không phát sinh nghĩa vụ mới cho Chủ đầu tư.</w:t>
            </w:r>
          </w:p>
          <w:p>
            <w:pPr>
              <w:spacing w:before="0" w:after="60"/>
              <w:jc w:val="left"/>
            </w:pPr>
            <w:r>
              <w:rPr>
                <w:rFonts w:ascii="Times New Roman" w:hAnsi="Times New Roman" w:eastAsia="Times New Roman" w:cs="Times New Roman"/>
                <w:b w:val="0"/>
                <w:i w:val="0"/>
                <w:caps w:val="0"/>
                <w:color w:val="000000"/>
                <w:sz w:val="26"/>
              </w:rPr>
              <w:t>Đạt một phần (1 điểm): Có nêu điều kiện tiền đề nhưng chung chung, chưa gắn với nội dung của giải pháp hoặc có nội dung chưa nhất quán với mục 3.5 Chương V.</w:t>
            </w:r>
          </w:p>
          <w:p>
            <w:pPr>
              <w:spacing w:before="0" w:after="60"/>
              <w:jc w:val="left"/>
            </w:pPr>
            <w:r>
              <w:rPr>
                <w:rFonts w:ascii="Times New Roman" w:hAnsi="Times New Roman" w:eastAsia="Times New Roman" w:cs="Times New Roman"/>
                <w:b w:val="0"/>
                <w:i w:val="0"/>
                <w:caps w:val="0"/>
                <w:color w:val="000000"/>
                <w:sz w:val="26"/>
              </w:rPr>
              <w:t>Không đạt (0 điểm): Không nêu điều kiện tiền đề.</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w:t>
            </w:r>
          </w:p>
        </w:tc>
        <w:tc>
          <w:tcPr>
            <w:tcW w:type="dxa" w:w="3300"/>
          </w:tcPr>
          <w:p>
            <w:pPr>
              <w:spacing w:before="0" w:after="60"/>
              <w:jc w:val="left"/>
            </w:pPr>
            <w:r>
              <w:rPr>
                <w:rFonts w:ascii="Times New Roman" w:hAnsi="Times New Roman" w:eastAsia="Times New Roman" w:cs="Times New Roman"/>
                <w:b w:val="0"/>
                <w:i w:val="0"/>
                <w:caps w:val="0"/>
                <w:color w:val="000000"/>
                <w:sz w:val="26"/>
              </w:rPr>
              <w:t>Phạm vi công việc, sản phẩm bàn giao, phương pháp thực hiện và bảo đảm chất lượng</w:t>
            </w:r>
          </w:p>
        </w:tc>
        <w:tc>
          <w:tcPr>
            <w:tcW w:type="dxa" w:w="900"/>
          </w:tcPr>
          <w:p>
            <w:pPr>
              <w:spacing w:before="0" w:after="60"/>
              <w:jc w:val="center"/>
            </w:pPr>
            <w:r>
              <w:rPr>
                <w:rFonts w:ascii="Times New Roman" w:hAnsi="Times New Roman" w:eastAsia="Times New Roman" w:cs="Times New Roman"/>
                <w:b w:val="0"/>
                <w:i w:val="0"/>
                <w:caps w:val="0"/>
                <w:color w:val="000000"/>
                <w:sz w:val="26"/>
              </w:rPr>
              <w:t>20</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12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2.1</w:t>
            </w:r>
          </w:p>
        </w:tc>
        <w:tc>
          <w:tcPr>
            <w:tcW w:type="dxa" w:w="3300"/>
          </w:tcPr>
          <w:p>
            <w:pPr>
              <w:spacing w:before="0" w:after="60"/>
              <w:jc w:val="left"/>
            </w:pPr>
            <w:r>
              <w:rPr>
                <w:rFonts w:ascii="Times New Roman" w:hAnsi="Times New Roman" w:eastAsia="Times New Roman" w:cs="Times New Roman"/>
                <w:b w:val="0"/>
                <w:i w:val="0"/>
                <w:caps w:val="0"/>
                <w:color w:val="000000"/>
                <w:sz w:val="26"/>
              </w:rPr>
              <w:t>Phạm vi công việc (Project Scope) gắn với tiêu chuẩn của Chủ đầu tư</w:t>
            </w:r>
          </w:p>
          <w:p>
            <w:pPr>
              <w:spacing w:before="0" w:after="60"/>
              <w:jc w:val="left"/>
            </w:pPr>
            <w:r>
              <w:rPr>
                <w:rFonts w:ascii="Times New Roman" w:hAnsi="Times New Roman" w:eastAsia="Times New Roman" w:cs="Times New Roman"/>
                <w:b w:val="0"/>
                <w:i w:val="0"/>
                <w:caps w:val="0"/>
                <w:color w:val="000000"/>
                <w:sz w:val="26"/>
              </w:rPr>
              <w:t>Mức độ đầy đủ của phạm vi công việc từ phân tích hệ thống đến kiểm thử vận hành theo yêu cầu tại Chương V, phân rã thành các công việc gắn với hạng mục Mẫu số 01A, nhận diện phần ngoài phạm vi là chức năng quản trị nội bộ (mục 3.2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(5 điểm): Phạm vi đủ mọi hạng mục Mẫu số 01A, phân rã đến công việc có sản phẩm cụ thể, nêu rõ phần ngoài phạm vi và cách đáp ứng yêu cầu của Chủ đầu tư tại Chương V.</w:t>
            </w:r>
          </w:p>
          <w:p>
            <w:pPr>
              <w:spacing w:before="0" w:after="60"/>
              <w:jc w:val="left"/>
            </w:pPr>
            <w:r>
              <w:rPr>
                <w:rFonts w:ascii="Times New Roman" w:hAnsi="Times New Roman" w:eastAsia="Times New Roman" w:cs="Times New Roman"/>
                <w:b w:val="0"/>
                <w:i w:val="0"/>
                <w:caps w:val="0"/>
                <w:color w:val="000000"/>
                <w:sz w:val="26"/>
              </w:rPr>
              <w:t>Đạt (4 điểm): Phạm vi đủ mọi hạng mục Mẫu số 01A và nêu rõ phần ngoài phạm vi nhưng phân rã công việc chưa chi tiết.</w:t>
            </w:r>
          </w:p>
          <w:p>
            <w:pPr>
              <w:spacing w:before="0" w:after="60"/>
              <w:jc w:val="left"/>
            </w:pPr>
            <w:r>
              <w:rPr>
                <w:rFonts w:ascii="Times New Roman" w:hAnsi="Times New Roman" w:eastAsia="Times New Roman" w:cs="Times New Roman"/>
                <w:b w:val="0"/>
                <w:i w:val="0"/>
                <w:caps w:val="0"/>
                <w:color w:val="000000"/>
                <w:sz w:val="26"/>
              </w:rPr>
              <w:t>Đạt một phần (2 điểm): Phạm vi thiếu một hoặc hai hạng mục Mẫu số 01A, hoặc không nêu phần ngoài phạm vi.</w:t>
            </w:r>
          </w:p>
          <w:p>
            <w:pPr>
              <w:spacing w:before="0" w:after="60"/>
              <w:jc w:val="left"/>
            </w:pPr>
            <w:r>
              <w:rPr>
                <w:rFonts w:ascii="Times New Roman" w:hAnsi="Times New Roman" w:eastAsia="Times New Roman" w:cs="Times New Roman"/>
                <w:b w:val="0"/>
                <w:i w:val="0"/>
                <w:caps w:val="0"/>
                <w:color w:val="000000"/>
                <w:sz w:val="26"/>
              </w:rPr>
              <w:t>Không đạt (0 điểm): Phạm vi thiếu từ ba hạng mục Mẫu số 01A trở lên hoặc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2.2</w:t>
            </w:r>
          </w:p>
        </w:tc>
        <w:tc>
          <w:tcPr>
            <w:tcW w:type="dxa" w:w="3300"/>
          </w:tcPr>
          <w:p>
            <w:pPr>
              <w:spacing w:before="0" w:after="60"/>
              <w:jc w:val="left"/>
            </w:pPr>
            <w:r>
              <w:rPr>
                <w:rFonts w:ascii="Times New Roman" w:hAnsi="Times New Roman" w:eastAsia="Times New Roman" w:cs="Times New Roman"/>
                <w:b w:val="0"/>
                <w:i w:val="0"/>
                <w:caps w:val="0"/>
                <w:color w:val="000000"/>
                <w:sz w:val="26"/>
              </w:rPr>
              <w:t>Sản phẩm bàn giao (Deliverables) trong hợp đồng</w:t>
            </w:r>
          </w:p>
          <w:p>
            <w:pPr>
              <w:spacing w:before="0" w:after="60"/>
              <w:jc w:val="left"/>
            </w:pPr>
            <w:r>
              <w:rPr>
                <w:rFonts w:ascii="Times New Roman" w:hAnsi="Times New Roman" w:eastAsia="Times New Roman" w:cs="Times New Roman"/>
                <w:b w:val="0"/>
                <w:i w:val="0"/>
                <w:caps w:val="0"/>
                <w:color w:val="000000"/>
                <w:sz w:val="26"/>
              </w:rPr>
              <w:t>Danh mục, nội dung, hình thức và thời điểm bàn giao của các sản phẩm: đặc tả hệ thống (Specification) gồm cấu hình cơ sở dữ liệu (DB Configuration) và chức năng (Function), quy trình vận hành mới (New Operational Flow), cấu trúc cơ sở dữ liệu (Database Structure), sơ đồ phân cấp menu (Menu Layer), hệ thống đã hoàn thành kiểm thử vận hành và tài liệu chuyển giao (mục 3.3 Chương V, Mẫu số 01A).</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(5 điểm): Nêu đủ các sản phẩm của mục 3.3 Chương V, mỗi sản phẩm có nội dung chính, hình thức, thời điểm bàn giao và cách Chủ đầu tư kiểm tra, xác nhận.</w:t>
            </w:r>
          </w:p>
          <w:p>
            <w:pPr>
              <w:spacing w:before="0" w:after="60"/>
              <w:jc w:val="left"/>
            </w:pPr>
            <w:r>
              <w:rPr>
                <w:rFonts w:ascii="Times New Roman" w:hAnsi="Times New Roman" w:eastAsia="Times New Roman" w:cs="Times New Roman"/>
                <w:b w:val="0"/>
                <w:i w:val="0"/>
                <w:caps w:val="0"/>
                <w:color w:val="000000"/>
                <w:sz w:val="26"/>
              </w:rPr>
              <w:t>Đạt (4 điểm): Nêu đủ các sản phẩm của mục 3.3 Chương V với nội dung và thời điểm bàn giao nhưng chưa nêu cách kiểm tra, xác nhận.</w:t>
            </w:r>
          </w:p>
          <w:p>
            <w:pPr>
              <w:spacing w:before="0" w:after="60"/>
              <w:jc w:val="left"/>
            </w:pPr>
            <w:r>
              <w:rPr>
                <w:rFonts w:ascii="Times New Roman" w:hAnsi="Times New Roman" w:eastAsia="Times New Roman" w:cs="Times New Roman"/>
                <w:b w:val="0"/>
                <w:i w:val="0"/>
                <w:caps w:val="0"/>
                <w:color w:val="000000"/>
                <w:sz w:val="26"/>
              </w:rPr>
              <w:t>Đạt một phần (2 điểm): Thiếu một sản phẩm của mục 3.3 Chương V hoặc chỉ liệt kê tên sản phẩm.</w:t>
            </w:r>
          </w:p>
          <w:p>
            <w:pPr>
              <w:spacing w:before="0" w:after="60"/>
              <w:jc w:val="left"/>
            </w:pPr>
            <w:r>
              <w:rPr>
                <w:rFonts w:ascii="Times New Roman" w:hAnsi="Times New Roman" w:eastAsia="Times New Roman" w:cs="Times New Roman"/>
                <w:b w:val="0"/>
                <w:i w:val="0"/>
                <w:caps w:val="0"/>
                <w:color w:val="000000"/>
                <w:sz w:val="26"/>
              </w:rPr>
              <w:t>Không đạt (0 điểm): Thiếu từ hai sản phẩm trở lên hoặc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2.3</w:t>
            </w:r>
          </w:p>
        </w:tc>
        <w:tc>
          <w:tcPr>
            <w:tcW w:type="dxa" w:w="3300"/>
          </w:tcPr>
          <w:p>
            <w:pPr>
              <w:spacing w:before="0" w:after="60"/>
              <w:jc w:val="left"/>
            </w:pPr>
            <w:r>
              <w:rPr>
                <w:rFonts w:ascii="Times New Roman" w:hAnsi="Times New Roman" w:eastAsia="Times New Roman" w:cs="Times New Roman"/>
                <w:b w:val="0"/>
                <w:i w:val="0"/>
                <w:caps w:val="0"/>
                <w:color w:val="000000"/>
                <w:sz w:val="26"/>
              </w:rPr>
              <w:t>Phương pháp phân tích, thiết kế và xây dựng hệ thống</w:t>
            </w:r>
          </w:p>
          <w:p>
            <w:pPr>
              <w:spacing w:before="0" w:after="60"/>
              <w:jc w:val="left"/>
            </w:pPr>
            <w:r>
              <w:rPr>
                <w:rFonts w:ascii="Times New Roman" w:hAnsi="Times New Roman" w:eastAsia="Times New Roman" w:cs="Times New Roman"/>
                <w:b w:val="0"/>
                <w:i w:val="0"/>
                <w:caps w:val="0"/>
                <w:color w:val="000000"/>
                <w:sz w:val="26"/>
              </w:rPr>
              <w:t>Phương pháp thu thập và phân tích yêu cầu, lập và xác nhận đặc tả, thiết kế, xây dựng các chức năng và Selling DB, quản lý cấu hình mã nguồn (mục 3.1 đến 3.3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Phương pháp cụ thể cho từng giai đoạn, có cách thức Chủ đầu tư tham gia xác nhận đặc tả và giao diện ưu tiên, phù hợp thời gian đến ngày cut over.</w:t>
            </w:r>
          </w:p>
          <w:p>
            <w:pPr>
              <w:spacing w:before="0" w:after="60"/>
              <w:jc w:val="left"/>
            </w:pPr>
            <w:r>
              <w:rPr>
                <w:rFonts w:ascii="Times New Roman" w:hAnsi="Times New Roman" w:eastAsia="Times New Roman" w:cs="Times New Roman"/>
                <w:b w:val="0"/>
                <w:i w:val="0"/>
                <w:caps w:val="0"/>
                <w:color w:val="000000"/>
                <w:sz w:val="26"/>
              </w:rPr>
              <w:t>Đạt (3 điểm): Phương pháp phù hợp cho từng giai đoạn nhưng chưa nêu cách thức Chủ đầu tư tham gia xác nhận.</w:t>
            </w:r>
          </w:p>
          <w:p>
            <w:pPr>
              <w:spacing w:before="0" w:after="60"/>
              <w:jc w:val="left"/>
            </w:pPr>
            <w:r>
              <w:rPr>
                <w:rFonts w:ascii="Times New Roman" w:hAnsi="Times New Roman" w:eastAsia="Times New Roman" w:cs="Times New Roman"/>
                <w:b w:val="0"/>
                <w:i w:val="0"/>
                <w:caps w:val="0"/>
                <w:color w:val="000000"/>
                <w:sz w:val="26"/>
              </w:rPr>
              <w:t>Đạt một phần (1 điểm): Chỉ nêu tên phương pháp, chưa áp dụng cụ thể vào gói thầu.</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2.4</w:t>
            </w:r>
          </w:p>
        </w:tc>
        <w:tc>
          <w:tcPr>
            <w:tcW w:type="dxa" w:w="3300"/>
          </w:tcPr>
          <w:p>
            <w:pPr>
              <w:spacing w:before="0" w:after="60"/>
              <w:jc w:val="left"/>
            </w:pPr>
            <w:r>
              <w:rPr>
                <w:rFonts w:ascii="Times New Roman" w:hAnsi="Times New Roman" w:eastAsia="Times New Roman" w:cs="Times New Roman"/>
                <w:b w:val="0"/>
                <w:i w:val="0"/>
                <w:caps w:val="0"/>
                <w:color w:val="000000"/>
                <w:sz w:val="26"/>
              </w:rPr>
              <w:t>Phương pháp kiểm thử và kiểm thử vận hành</w:t>
            </w:r>
          </w:p>
          <w:p>
            <w:pPr>
              <w:spacing w:before="0" w:after="60"/>
              <w:jc w:val="left"/>
            </w:pPr>
            <w:r>
              <w:rPr>
                <w:rFonts w:ascii="Times New Roman" w:hAnsi="Times New Roman" w:eastAsia="Times New Roman" w:cs="Times New Roman"/>
                <w:b w:val="0"/>
                <w:i w:val="0"/>
                <w:caps w:val="0"/>
                <w:color w:val="000000"/>
                <w:sz w:val="26"/>
              </w:rPr>
              <w:t>Kế hoạch kiểm thử chức năng, kiểm thử tích hợp với Main System, kiểm thử các yêu cầu phi chức năng theo điều kiện đo, kiểm thử vận hành (Operation Test) có sự tham gia của Chủ đầu tư, tiêu chí đạt và quản lý lỗi (mục 3.2, 3.4 và 3.5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Đủ các loại kiểm thử nêu trên, mỗi loại có phạm vi, dữ liệu, môi trường kiểm thử theo phân định tại mục 3.5 Chương V (môi trường do nhà thầu cung cấp, môi trường thử của Main System, hạ tầng vận hành chính thức), tiêu chí đạt và quy trình xử lý lỗi.</w:t>
            </w:r>
          </w:p>
          <w:p>
            <w:pPr>
              <w:spacing w:before="0" w:after="60"/>
              <w:jc w:val="left"/>
            </w:pPr>
            <w:r>
              <w:rPr>
                <w:rFonts w:ascii="Times New Roman" w:hAnsi="Times New Roman" w:eastAsia="Times New Roman" w:cs="Times New Roman"/>
                <w:b w:val="0"/>
                <w:i w:val="0"/>
                <w:caps w:val="0"/>
                <w:color w:val="000000"/>
                <w:sz w:val="26"/>
              </w:rPr>
              <w:t>Đạt (3 điểm): Đủ các loại kiểm thử nêu trên nhưng tiêu chí đạt hoặc môi trường kiểm thử chưa cụ thể.</w:t>
            </w:r>
          </w:p>
          <w:p>
            <w:pPr>
              <w:spacing w:before="0" w:after="60"/>
              <w:jc w:val="left"/>
            </w:pPr>
            <w:r>
              <w:rPr>
                <w:rFonts w:ascii="Times New Roman" w:hAnsi="Times New Roman" w:eastAsia="Times New Roman" w:cs="Times New Roman"/>
                <w:b w:val="0"/>
                <w:i w:val="0"/>
                <w:caps w:val="0"/>
                <w:color w:val="000000"/>
                <w:sz w:val="26"/>
              </w:rPr>
              <w:t>Đạt một phần (1 điểm): Thiếu kiểm thử tích hợp, kiểm thử phi chức năng hoặc kiểm thử vận hành.</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2.5</w:t>
            </w:r>
          </w:p>
        </w:tc>
        <w:tc>
          <w:tcPr>
            <w:tcW w:type="dxa" w:w="3300"/>
          </w:tcPr>
          <w:p>
            <w:pPr>
              <w:spacing w:before="0" w:after="60"/>
              <w:jc w:val="left"/>
            </w:pPr>
            <w:r>
              <w:rPr>
                <w:rFonts w:ascii="Times New Roman" w:hAnsi="Times New Roman" w:eastAsia="Times New Roman" w:cs="Times New Roman"/>
                <w:b w:val="0"/>
                <w:i w:val="0"/>
                <w:caps w:val="0"/>
                <w:color w:val="000000"/>
                <w:sz w:val="26"/>
              </w:rPr>
              <w:t>Biện pháp bảo đảm chất lượng</w:t>
            </w:r>
          </w:p>
          <w:p>
            <w:pPr>
              <w:spacing w:before="0" w:after="60"/>
              <w:jc w:val="left"/>
            </w:pPr>
            <w:r>
              <w:rPr>
                <w:rFonts w:ascii="Times New Roman" w:hAnsi="Times New Roman" w:eastAsia="Times New Roman" w:cs="Times New Roman"/>
                <w:b w:val="0"/>
                <w:i w:val="0"/>
                <w:caps w:val="0"/>
                <w:color w:val="000000"/>
                <w:sz w:val="26"/>
              </w:rPr>
              <w:t>Quy trình rà soát sản phẩm, đo lường và theo dõi chất lượng, xử lý sai sót trước khi bàn giao (mục 3.3 và mục 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2</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Đạt đủ (2 điểm): Có quy trình bảo đảm chất lượng áp dụng cho từng sản phẩm bàn giao, có chỉ số theo dõi và người chịu trách nhiệm.</w:t>
            </w:r>
          </w:p>
          <w:p>
            <w:pPr>
              <w:spacing w:before="0" w:after="60"/>
              <w:jc w:val="left"/>
            </w:pPr>
            <w:r>
              <w:rPr>
                <w:rFonts w:ascii="Times New Roman" w:hAnsi="Times New Roman" w:eastAsia="Times New Roman" w:cs="Times New Roman"/>
                <w:b w:val="0"/>
                <w:i w:val="0"/>
                <w:caps w:val="0"/>
                <w:color w:val="000000"/>
                <w:sz w:val="26"/>
              </w:rPr>
              <w:t>Đạt một phần (1 điểm): Có quy trình chung, chưa gắn với các sản phẩm bàn giao.</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w:t>
            </w:r>
          </w:p>
        </w:tc>
        <w:tc>
          <w:tcPr>
            <w:tcW w:type="dxa" w:w="3300"/>
          </w:tcPr>
          <w:p>
            <w:pPr>
              <w:spacing w:before="0" w:after="60"/>
              <w:jc w:val="left"/>
            </w:pPr>
            <w:r>
              <w:rPr>
                <w:rFonts w:ascii="Times New Roman" w:hAnsi="Times New Roman" w:eastAsia="Times New Roman" w:cs="Times New Roman"/>
                <w:b w:val="0"/>
                <w:i w:val="0"/>
                <w:caps w:val="0"/>
                <w:color w:val="000000"/>
                <w:sz w:val="26"/>
              </w:rPr>
              <w:t>Kế hoạch, tiến độ đến ngày cut over, tổ chức thực hiện và nhân sự</w:t>
            </w:r>
          </w:p>
        </w:tc>
        <w:tc>
          <w:tcPr>
            <w:tcW w:type="dxa" w:w="900"/>
          </w:tcPr>
          <w:p>
            <w:pPr>
              <w:spacing w:before="0" w:after="60"/>
              <w:jc w:val="center"/>
            </w:pPr>
            <w:r>
              <w:rPr>
                <w:rFonts w:ascii="Times New Roman" w:hAnsi="Times New Roman" w:eastAsia="Times New Roman" w:cs="Times New Roman"/>
                <w:b w:val="0"/>
                <w:i w:val="0"/>
                <w:caps w:val="0"/>
                <w:color w:val="000000"/>
                <w:sz w:val="26"/>
              </w:rPr>
              <w:t>20</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12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3.1</w:t>
            </w:r>
          </w:p>
        </w:tc>
        <w:tc>
          <w:tcPr>
            <w:tcW w:type="dxa" w:w="3300"/>
          </w:tcPr>
          <w:p>
            <w:pPr>
              <w:spacing w:before="0" w:after="60"/>
              <w:jc w:val="left"/>
            </w:pPr>
            <w:r>
              <w:rPr>
                <w:rFonts w:ascii="Times New Roman" w:hAnsi="Times New Roman" w:eastAsia="Times New Roman" w:cs="Times New Roman"/>
                <w:b w:val="0"/>
                <w:i w:val="0"/>
                <w:caps w:val="0"/>
                <w:color w:val="000000"/>
                <w:sz w:val="26"/>
              </w:rPr>
              <w:t>Tiến độ (Schedule) đến ngày cut over</w:t>
            </w:r>
          </w:p>
          <w:p>
            <w:pPr>
              <w:spacing w:before="0" w:after="60"/>
              <w:jc w:val="left"/>
            </w:pPr>
            <w:r>
              <w:rPr>
                <w:rFonts w:ascii="Times New Roman" w:hAnsi="Times New Roman" w:eastAsia="Times New Roman" w:cs="Times New Roman"/>
                <w:b w:val="0"/>
                <w:i w:val="0"/>
                <w:caps w:val="0"/>
                <w:color w:val="000000"/>
                <w:sz w:val="26"/>
              </w:rPr>
              <w:t>Tính hợp lý và khả thi của tiến độ từ ngày hợp đồng có hiệu lực đến ngày đưa hệ thống vào vận hành (cut over) 01/07/2027: các giai đoạn, mốc gắn với sản phẩm bàn giao và đợt thanh toán tại Mục 13.1 E-ĐKCT, công việc găng, thời gian dự phòng, sự phù hợp với các thời hạn Chủ đầu tư cung cấp tài liệu, môi trường thử của hệ thống hiện có và hạ tầng vận hành (mục 3.5 và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6</w:t>
            </w:r>
          </w:p>
        </w:tc>
        <w:tc>
          <w:tcPr>
            <w:tcW w:type="dxa" w:w="1100"/>
          </w:tcPr>
          <w:p>
            <w:pPr>
              <w:spacing w:before="0" w:after="60"/>
              <w:jc w:val="center"/>
            </w:pPr>
            <w:r>
              <w:rPr>
                <w:rFonts w:ascii="Times New Roman" w:hAnsi="Times New Roman" w:eastAsia="Times New Roman" w:cs="Times New Roman"/>
                <w:b w:val="0"/>
                <w:i w:val="0"/>
                <w:caps w:val="0"/>
                <w:color w:val="000000"/>
                <w:sz w:val="26"/>
              </w:rPr>
              <w:t>Có, tối thiểu 4 điểm</w:t>
            </w:r>
          </w:p>
        </w:tc>
        <w:tc>
          <w:tcPr>
            <w:tcW w:type="dxa" w:w="3600"/>
          </w:tcPr>
          <w:p>
            <w:pPr>
              <w:spacing w:before="0" w:after="60"/>
              <w:jc w:val="left"/>
            </w:pPr>
            <w:r>
              <w:rPr>
                <w:rFonts w:ascii="Times New Roman" w:hAnsi="Times New Roman" w:eastAsia="Times New Roman" w:cs="Times New Roman"/>
                <w:b w:val="0"/>
                <w:i w:val="0"/>
                <w:caps w:val="0"/>
                <w:color w:val="000000"/>
                <w:sz w:val="26"/>
              </w:rPr>
              <w:t>Tốt (6 điểm): Tiến độ đưa hệ thống vào vận hành (cut over) không muộn hơn ngày 01/07/2027, đủ mốc gắn với sản phẩm và đợt thanh toán, xác định công việc găng, có thời gian dự phòng và phù hợp các thời hạn tại mục 3.5 Chương V.</w:t>
            </w:r>
          </w:p>
          <w:p>
            <w:pPr>
              <w:spacing w:before="0" w:after="60"/>
              <w:jc w:val="left"/>
            </w:pPr>
            <w:r>
              <w:rPr>
                <w:rFonts w:ascii="Times New Roman" w:hAnsi="Times New Roman" w:eastAsia="Times New Roman" w:cs="Times New Roman"/>
                <w:b w:val="0"/>
                <w:i w:val="0"/>
                <w:caps w:val="0"/>
                <w:color w:val="000000"/>
                <w:sz w:val="26"/>
              </w:rPr>
              <w:t>Đạt (4 điểm): Tiến độ đưa hệ thống vào vận hành (cut over) không muộn hơn ngày 01/07/2027, đủ mốc gắn với sản phẩm nhưng chưa xác định công việc găng hoặc thời gian dự phòng.</w:t>
            </w:r>
          </w:p>
          <w:p>
            <w:pPr>
              <w:spacing w:before="0" w:after="60"/>
              <w:jc w:val="left"/>
            </w:pPr>
            <w:r>
              <w:rPr>
                <w:rFonts w:ascii="Times New Roman" w:hAnsi="Times New Roman" w:eastAsia="Times New Roman" w:cs="Times New Roman"/>
                <w:b w:val="0"/>
                <w:i w:val="0"/>
                <w:caps w:val="0"/>
                <w:color w:val="000000"/>
                <w:sz w:val="26"/>
              </w:rPr>
              <w:t>Đạt một phần (2 điểm): Tiến độ đưa hệ thống vào vận hành (cut over) không muộn hơn ngày 01/07/2027 nhưng thiếu mốc gắn với sản phẩm hoặc không phù hợp các thời hạn tại mục 3.5 Chương V.</w:t>
            </w:r>
          </w:p>
          <w:p>
            <w:pPr>
              <w:spacing w:before="0" w:after="60"/>
              <w:jc w:val="left"/>
            </w:pPr>
            <w:r>
              <w:rPr>
                <w:rFonts w:ascii="Times New Roman" w:hAnsi="Times New Roman" w:eastAsia="Times New Roman" w:cs="Times New Roman"/>
                <w:b w:val="0"/>
                <w:i w:val="0"/>
                <w:caps w:val="0"/>
                <w:color w:val="000000"/>
                <w:sz w:val="26"/>
              </w:rPr>
              <w:t>Không đạt (0 điểm): Tiến độ đưa hệ thống vào vận hành muộn hơn ngày 01/07/2027 hoặc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3.2</w:t>
            </w:r>
          </w:p>
        </w:tc>
        <w:tc>
          <w:tcPr>
            <w:tcW w:type="dxa" w:w="3300"/>
          </w:tcPr>
          <w:p>
            <w:pPr>
              <w:spacing w:before="0" w:after="60"/>
              <w:jc w:val="left"/>
            </w:pPr>
            <w:r>
              <w:rPr>
                <w:rFonts w:ascii="Times New Roman" w:hAnsi="Times New Roman" w:eastAsia="Times New Roman" w:cs="Times New Roman"/>
                <w:b w:val="0"/>
                <w:i w:val="0"/>
                <w:caps w:val="0"/>
                <w:color w:val="000000"/>
                <w:sz w:val="26"/>
              </w:rPr>
              <w:t>Tổ chức thực hiện dự án (Organization)</w:t>
            </w:r>
          </w:p>
          <w:p>
            <w:pPr>
              <w:spacing w:before="0" w:after="60"/>
              <w:jc w:val="left"/>
            </w:pPr>
            <w:r>
              <w:rPr>
                <w:rFonts w:ascii="Times New Roman" w:hAnsi="Times New Roman" w:eastAsia="Times New Roman" w:cs="Times New Roman"/>
                <w:b w:val="0"/>
                <w:i w:val="0"/>
                <w:caps w:val="0"/>
                <w:color w:val="000000"/>
                <w:sz w:val="26"/>
              </w:rPr>
              <w:t>Sơ đồ tổ chức thực hiện của nhà thầu cho gói thầu, đầu mối làm việc với Chủ đầu tư, cơ chế phối hợp, báo cáo và ra quyết định, quản lý nhà thầu phụ nếu có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Sơ đồ tổ chức rõ ràng, có đầu mối, cơ chế phối hợp, báo cáo, ra quyết định và quản lý nhà thầu phụ (nếu có) phù hợp quy mô gói thầu.</w:t>
            </w:r>
          </w:p>
          <w:p>
            <w:pPr>
              <w:spacing w:before="0" w:after="60"/>
              <w:jc w:val="left"/>
            </w:pPr>
            <w:r>
              <w:rPr>
                <w:rFonts w:ascii="Times New Roman" w:hAnsi="Times New Roman" w:eastAsia="Times New Roman" w:cs="Times New Roman"/>
                <w:b w:val="0"/>
                <w:i w:val="0"/>
                <w:caps w:val="0"/>
                <w:color w:val="000000"/>
                <w:sz w:val="26"/>
              </w:rPr>
              <w:t>Đạt (3 điểm): Có sơ đồ tổ chức và đầu mối nhưng cơ chế phối hợp, ra quyết định chưa cụ thể.</w:t>
            </w:r>
          </w:p>
          <w:p>
            <w:pPr>
              <w:spacing w:before="0" w:after="60"/>
              <w:jc w:val="left"/>
            </w:pPr>
            <w:r>
              <w:rPr>
                <w:rFonts w:ascii="Times New Roman" w:hAnsi="Times New Roman" w:eastAsia="Times New Roman" w:cs="Times New Roman"/>
                <w:b w:val="0"/>
                <w:i w:val="0"/>
                <w:caps w:val="0"/>
                <w:color w:val="000000"/>
                <w:sz w:val="26"/>
              </w:rPr>
              <w:t>Đạt một phần (1 điểm): Chỉ nêu danh sách bộ phận, chưa thể hiện quan hệ và đầu mối.</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3.3</w:t>
            </w:r>
          </w:p>
        </w:tc>
        <w:tc>
          <w:tcPr>
            <w:tcW w:type="dxa" w:w="3300"/>
          </w:tcPr>
          <w:p>
            <w:pPr>
              <w:spacing w:before="0" w:after="60"/>
              <w:jc w:val="left"/>
            </w:pPr>
            <w:r>
              <w:rPr>
                <w:rFonts w:ascii="Times New Roman" w:hAnsi="Times New Roman" w:eastAsia="Times New Roman" w:cs="Times New Roman"/>
                <w:b w:val="0"/>
                <w:i w:val="0"/>
                <w:caps w:val="0"/>
                <w:color w:val="000000"/>
                <w:sz w:val="26"/>
              </w:rPr>
              <w:t>Bố trí nhân sự thực hiện gói thầu</w:t>
            </w:r>
          </w:p>
          <w:p>
            <w:pPr>
              <w:spacing w:before="0" w:after="60"/>
              <w:jc w:val="left"/>
            </w:pPr>
            <w:r>
              <w:rPr>
                <w:rFonts w:ascii="Times New Roman" w:hAnsi="Times New Roman" w:eastAsia="Times New Roman" w:cs="Times New Roman"/>
                <w:b w:val="0"/>
                <w:i w:val="0"/>
                <w:caps w:val="0"/>
                <w:color w:val="000000"/>
                <w:sz w:val="26"/>
              </w:rPr>
              <w:t>Phân công nhân sự chủ chốt theo Bảng số 02 Chương III và nhân sự khác theo giai đoạn, thời gian huy động, phương án thay thế khi nhân sự vắng mặt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Phân công rõ nhiệm vụ, thời gian huy động của từng nhân sự theo giai đoạn, phù hợp tiến độ, có phương án thay thế.</w:t>
            </w:r>
          </w:p>
          <w:p>
            <w:pPr>
              <w:spacing w:before="0" w:after="60"/>
              <w:jc w:val="left"/>
            </w:pPr>
            <w:r>
              <w:rPr>
                <w:rFonts w:ascii="Times New Roman" w:hAnsi="Times New Roman" w:eastAsia="Times New Roman" w:cs="Times New Roman"/>
                <w:b w:val="0"/>
                <w:i w:val="0"/>
                <w:caps w:val="0"/>
                <w:color w:val="000000"/>
                <w:sz w:val="26"/>
              </w:rPr>
              <w:t>Đạt (3 điểm): Phân công nhiệm vụ và thời gian huy động phù hợp tiến độ nhưng chưa có phương án thay thế.</w:t>
            </w:r>
          </w:p>
          <w:p>
            <w:pPr>
              <w:spacing w:before="0" w:after="60"/>
              <w:jc w:val="left"/>
            </w:pPr>
            <w:r>
              <w:rPr>
                <w:rFonts w:ascii="Times New Roman" w:hAnsi="Times New Roman" w:eastAsia="Times New Roman" w:cs="Times New Roman"/>
                <w:b w:val="0"/>
                <w:i w:val="0"/>
                <w:caps w:val="0"/>
                <w:color w:val="000000"/>
                <w:sz w:val="26"/>
              </w:rPr>
              <w:t>Đạt một phần (1 điểm): Chỉ liệt kê nhân sự, chưa phân công theo giai đoạn.</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3.4</w:t>
            </w:r>
          </w:p>
        </w:tc>
        <w:tc>
          <w:tcPr>
            <w:tcW w:type="dxa" w:w="3300"/>
          </w:tcPr>
          <w:p>
            <w:pPr>
              <w:spacing w:before="0" w:after="60"/>
              <w:jc w:val="left"/>
            </w:pPr>
            <w:r>
              <w:rPr>
                <w:rFonts w:ascii="Times New Roman" w:hAnsi="Times New Roman" w:eastAsia="Times New Roman" w:cs="Times New Roman"/>
                <w:b w:val="0"/>
                <w:i w:val="0"/>
                <w:caps w:val="0"/>
                <w:color w:val="000000"/>
                <w:sz w:val="26"/>
              </w:rPr>
              <w:t>Kế hoạch họp (Meeting)</w:t>
            </w:r>
          </w:p>
          <w:p>
            <w:pPr>
              <w:spacing w:before="0" w:after="60"/>
              <w:jc w:val="left"/>
            </w:pPr>
            <w:r>
              <w:rPr>
                <w:rFonts w:ascii="Times New Roman" w:hAnsi="Times New Roman" w:eastAsia="Times New Roman" w:cs="Times New Roman"/>
                <w:b w:val="0"/>
                <w:i w:val="0"/>
                <w:caps w:val="0"/>
                <w:color w:val="000000"/>
                <w:sz w:val="26"/>
              </w:rPr>
              <w:t>Kế hoạch họp với Chủ đầu tư: loại cuộc họp, tần suất, thành phần, nội dung, cách lập và xác nhận biên bản, chế độ báo cáo tiến độ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(3 điểm): Kế hoạch họp đủ các nội dung nêu trên, gắn với các mốc xác nhận đặc tả, kiểm tra sản phẩm và cut over.</w:t>
            </w:r>
          </w:p>
          <w:p>
            <w:pPr>
              <w:spacing w:before="0" w:after="60"/>
              <w:jc w:val="left"/>
            </w:pPr>
            <w:r>
              <w:rPr>
                <w:rFonts w:ascii="Times New Roman" w:hAnsi="Times New Roman" w:eastAsia="Times New Roman" w:cs="Times New Roman"/>
                <w:b w:val="0"/>
                <w:i w:val="0"/>
                <w:caps w:val="0"/>
                <w:color w:val="000000"/>
                <w:sz w:val="26"/>
              </w:rPr>
              <w:t>Đạt (2 điểm): Kế hoạch họp có loại cuộc họp, tần suất, thành phần nhưng chưa gắn với các mốc của dự án.</w:t>
            </w:r>
          </w:p>
          <w:p>
            <w:pPr>
              <w:spacing w:before="0" w:after="60"/>
              <w:jc w:val="left"/>
            </w:pPr>
            <w:r>
              <w:rPr>
                <w:rFonts w:ascii="Times New Roman" w:hAnsi="Times New Roman" w:eastAsia="Times New Roman" w:cs="Times New Roman"/>
                <w:b w:val="0"/>
                <w:i w:val="0"/>
                <w:caps w:val="0"/>
                <w:color w:val="000000"/>
                <w:sz w:val="26"/>
              </w:rPr>
              <w:t>Đạt một phần (1 điểm): Chỉ nêu họp định kỳ, chưa có thành phần và nội dung.</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3.5</w:t>
            </w:r>
          </w:p>
        </w:tc>
        <w:tc>
          <w:tcPr>
            <w:tcW w:type="dxa" w:w="3300"/>
          </w:tcPr>
          <w:p>
            <w:pPr>
              <w:spacing w:before="0" w:after="60"/>
              <w:jc w:val="left"/>
            </w:pPr>
            <w:r>
              <w:rPr>
                <w:rFonts w:ascii="Times New Roman" w:hAnsi="Times New Roman" w:eastAsia="Times New Roman" w:cs="Times New Roman"/>
                <w:b w:val="0"/>
                <w:i w:val="0"/>
                <w:caps w:val="0"/>
                <w:color w:val="000000"/>
                <w:sz w:val="26"/>
              </w:rPr>
              <w:t>Kế hoạch chuyển giao, hướng dẫn vận hành và hỗ trợ cut over</w:t>
            </w:r>
          </w:p>
          <w:p>
            <w:pPr>
              <w:spacing w:before="0" w:after="60"/>
              <w:jc w:val="left"/>
            </w:pPr>
            <w:r>
              <w:rPr>
                <w:rFonts w:ascii="Times New Roman" w:hAnsi="Times New Roman" w:eastAsia="Times New Roman" w:cs="Times New Roman"/>
                <w:b w:val="0"/>
                <w:i w:val="0"/>
                <w:caps w:val="0"/>
                <w:color w:val="000000"/>
                <w:sz w:val="26"/>
              </w:rPr>
              <w:t>Kế hoạch chuyển giao tài liệu, hướng dẫn cán bộ của Chủ đầu tư vận hành hệ thống theo quy trình vận hành mới, các bước chuyển sang vận hành chính thức và hỗ trợ sau cut over (mục 3.2 và 3.3 Chương V, Mẫu số 01A).</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(3 điểm): Kế hoạch cụ thể về đối tượng, nội dung, thời gian hướng dẫn, các bước chuyển sang vận hành chính thức, phương án quay lui khi có sự cố và hỗ trợ sau cut over.</w:t>
            </w:r>
          </w:p>
          <w:p>
            <w:pPr>
              <w:spacing w:before="0" w:after="60"/>
              <w:jc w:val="left"/>
            </w:pPr>
            <w:r>
              <w:rPr>
                <w:rFonts w:ascii="Times New Roman" w:hAnsi="Times New Roman" w:eastAsia="Times New Roman" w:cs="Times New Roman"/>
                <w:b w:val="0"/>
                <w:i w:val="0"/>
                <w:caps w:val="0"/>
                <w:color w:val="000000"/>
                <w:sz w:val="26"/>
              </w:rPr>
              <w:t>Đạt (2 điểm): Có kế hoạch hướng dẫn và các bước chuyển sang vận hành chính thức nhưng chưa có phương án quay lui khi có sự cố.</w:t>
            </w:r>
          </w:p>
          <w:p>
            <w:pPr>
              <w:spacing w:before="0" w:after="60"/>
              <w:jc w:val="left"/>
            </w:pPr>
            <w:r>
              <w:rPr>
                <w:rFonts w:ascii="Times New Roman" w:hAnsi="Times New Roman" w:eastAsia="Times New Roman" w:cs="Times New Roman"/>
                <w:b w:val="0"/>
                <w:i w:val="0"/>
                <w:caps w:val="0"/>
                <w:color w:val="000000"/>
                <w:sz w:val="26"/>
              </w:rPr>
              <w:t>Đạt một phần (1 điểm): Chỉ nêu cam kết chuyển giao và hướng dẫn chung.</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w:t>
            </w:r>
          </w:p>
        </w:tc>
        <w:tc>
          <w:tcPr>
            <w:tcW w:type="dxa" w:w="3300"/>
          </w:tcPr>
          <w:p>
            <w:pPr>
              <w:spacing w:before="0" w:after="60"/>
              <w:jc w:val="left"/>
            </w:pPr>
            <w:r>
              <w:rPr>
                <w:rFonts w:ascii="Times New Roman" w:hAnsi="Times New Roman" w:eastAsia="Times New Roman" w:cs="Times New Roman"/>
                <w:b w:val="0"/>
                <w:i w:val="0"/>
                <w:caps w:val="0"/>
                <w:color w:val="000000"/>
                <w:sz w:val="26"/>
              </w:rPr>
              <w:t>Vai trò và trách nhiệm, quản lý thay đổi, quản lý rủi ro và khắc phục sai sót</w:t>
            </w:r>
          </w:p>
        </w:tc>
        <w:tc>
          <w:tcPr>
            <w:tcW w:type="dxa" w:w="900"/>
          </w:tcPr>
          <w:p>
            <w:pPr>
              <w:spacing w:before="0" w:after="60"/>
              <w:jc w:val="center"/>
            </w:pPr>
            <w:r>
              <w:rPr>
                <w:rFonts w:ascii="Times New Roman" w:hAnsi="Times New Roman" w:eastAsia="Times New Roman" w:cs="Times New Roman"/>
                <w:b w:val="0"/>
                <w:i w:val="0"/>
                <w:caps w:val="0"/>
                <w:color w:val="000000"/>
                <w:sz w:val="26"/>
              </w:rPr>
              <w:t>15</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9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4.1</w:t>
            </w:r>
          </w:p>
        </w:tc>
        <w:tc>
          <w:tcPr>
            <w:tcW w:type="dxa" w:w="3300"/>
          </w:tcPr>
          <w:p>
            <w:pPr>
              <w:spacing w:before="0" w:after="60"/>
              <w:jc w:val="left"/>
            </w:pPr>
            <w:r>
              <w:rPr>
                <w:rFonts w:ascii="Times New Roman" w:hAnsi="Times New Roman" w:eastAsia="Times New Roman" w:cs="Times New Roman"/>
                <w:b w:val="0"/>
                <w:i w:val="0"/>
                <w:caps w:val="0"/>
                <w:color w:val="000000"/>
                <w:sz w:val="26"/>
              </w:rPr>
              <w:t>Vai trò và trách nhiệm (Roles) của các bên</w:t>
            </w:r>
          </w:p>
          <w:p>
            <w:pPr>
              <w:spacing w:before="0" w:after="60"/>
              <w:jc w:val="left"/>
            </w:pPr>
            <w:r>
              <w:rPr>
                <w:rFonts w:ascii="Times New Roman" w:hAnsi="Times New Roman" w:eastAsia="Times New Roman" w:cs="Times New Roman"/>
                <w:b w:val="0"/>
                <w:i w:val="0"/>
                <w:caps w:val="0"/>
                <w:color w:val="000000"/>
                <w:sz w:val="26"/>
              </w:rPr>
              <w:t>Mức độ rõ ràng của vai trò và trách nhiệm của nhà thầu và Chủ đầu tư trong xác nhận đặc tả, cung cấp thông tin, kiểm tra, nghiệm thu và vận hành, sự nhất quán với phân định tại mục 3.5 Chương V (mục 3.5, mục 4 và mục 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Có ma trận vai trò và trách nhiệm cho từng công việc chính và sản phẩm, nhất quán với mục 3.5 Chương V, nêu rõ người phê duyệt của mỗi bên.</w:t>
            </w:r>
          </w:p>
          <w:p>
            <w:pPr>
              <w:spacing w:before="0" w:after="60"/>
              <w:jc w:val="left"/>
            </w:pPr>
            <w:r>
              <w:rPr>
                <w:rFonts w:ascii="Times New Roman" w:hAnsi="Times New Roman" w:eastAsia="Times New Roman" w:cs="Times New Roman"/>
                <w:b w:val="0"/>
                <w:i w:val="0"/>
                <w:caps w:val="0"/>
                <w:color w:val="000000"/>
                <w:sz w:val="26"/>
              </w:rPr>
              <w:t>Đạt (3 điểm): Nêu đủ vai trò và trách nhiệm của các bên, nhất quán với mục 3.5 Chương V nhưng chưa chi tiết đến từng sản phẩm.</w:t>
            </w:r>
          </w:p>
          <w:p>
            <w:pPr>
              <w:spacing w:before="0" w:after="60"/>
              <w:jc w:val="left"/>
            </w:pPr>
            <w:r>
              <w:rPr>
                <w:rFonts w:ascii="Times New Roman" w:hAnsi="Times New Roman" w:eastAsia="Times New Roman" w:cs="Times New Roman"/>
                <w:b w:val="0"/>
                <w:i w:val="0"/>
                <w:caps w:val="0"/>
                <w:color w:val="000000"/>
                <w:sz w:val="26"/>
              </w:rPr>
              <w:t>Đạt một phần (1 điểm): Vai trò và trách nhiệm nêu chung hoặc có nội dung chưa nhất quán với mục 3.5 Chương V.</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4.2</w:t>
            </w:r>
          </w:p>
        </w:tc>
        <w:tc>
          <w:tcPr>
            <w:tcW w:type="dxa" w:w="3300"/>
          </w:tcPr>
          <w:p>
            <w:pPr>
              <w:spacing w:before="0" w:after="60"/>
              <w:jc w:val="left"/>
            </w:pPr>
            <w:r>
              <w:rPr>
                <w:rFonts w:ascii="Times New Roman" w:hAnsi="Times New Roman" w:eastAsia="Times New Roman" w:cs="Times New Roman"/>
                <w:b w:val="0"/>
                <w:i w:val="0"/>
                <w:caps w:val="0"/>
                <w:color w:val="000000"/>
                <w:sz w:val="26"/>
              </w:rPr>
              <w:t>Quản lý thay đổi đặc tả</w:t>
            </w:r>
          </w:p>
          <w:p>
            <w:pPr>
              <w:spacing w:before="0" w:after="60"/>
              <w:jc w:val="left"/>
            </w:pPr>
            <w:r>
              <w:rPr>
                <w:rFonts w:ascii="Times New Roman" w:hAnsi="Times New Roman" w:eastAsia="Times New Roman" w:cs="Times New Roman"/>
                <w:b w:val="0"/>
                <w:i w:val="0"/>
                <w:caps w:val="0"/>
                <w:color w:val="000000"/>
                <w:sz w:val="26"/>
              </w:rPr>
              <w:t>Quy trình tiếp nhận đề xuất thay đổi đặc tả của mỗi bên, đánh giá ảnh hưởng tới phạm vi và tiến độ, thống nhất bằng văn bản theo Mục 17.1(c) E-ĐKCT, quản lý phiên bản đặc tả và tài liệu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Quy trình đủ các bước, có biểu mẫu, thời hạn xử lý, cấp phê duyệt và quản lý phiên bản, phù hợp Mục 17.1(c) E-ĐKCT.</w:t>
            </w:r>
          </w:p>
          <w:p>
            <w:pPr>
              <w:spacing w:before="0" w:after="60"/>
              <w:jc w:val="left"/>
            </w:pPr>
            <w:r>
              <w:rPr>
                <w:rFonts w:ascii="Times New Roman" w:hAnsi="Times New Roman" w:eastAsia="Times New Roman" w:cs="Times New Roman"/>
                <w:b w:val="0"/>
                <w:i w:val="0"/>
                <w:caps w:val="0"/>
                <w:color w:val="000000"/>
                <w:sz w:val="26"/>
              </w:rPr>
              <w:t>Đạt (3 điểm): Quy trình đủ các bước, phù hợp Mục 17.1(c) E-ĐKCT nhưng chưa có thời hạn xử lý hoặc chưa quản lý phiên bản.</w:t>
            </w:r>
          </w:p>
          <w:p>
            <w:pPr>
              <w:spacing w:before="0" w:after="60"/>
              <w:jc w:val="left"/>
            </w:pPr>
            <w:r>
              <w:rPr>
                <w:rFonts w:ascii="Times New Roman" w:hAnsi="Times New Roman" w:eastAsia="Times New Roman" w:cs="Times New Roman"/>
                <w:b w:val="0"/>
                <w:i w:val="0"/>
                <w:caps w:val="0"/>
                <w:color w:val="000000"/>
                <w:sz w:val="26"/>
              </w:rPr>
              <w:t>Đạt một phần (1 điểm): Chỉ nêu nguyên tắc chung về thay đổi đặc tả.</w:t>
            </w:r>
          </w:p>
          <w:p>
            <w:pPr>
              <w:spacing w:before="0" w:after="60"/>
              <w:jc w:val="left"/>
            </w:pPr>
            <w:r>
              <w:rPr>
                <w:rFonts w:ascii="Times New Roman" w:hAnsi="Times New Roman" w:eastAsia="Times New Roman" w:cs="Times New Roman"/>
                <w:b w:val="0"/>
                <w:i w:val="0"/>
                <w:caps w:val="0"/>
                <w:color w:val="000000"/>
                <w:sz w:val="26"/>
              </w:rPr>
              <w:t>Không đạt (0 điểm): Không trình bày hoặc quy trình trái với Mục 17.1(c) E-ĐKCT.</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4.3</w:t>
            </w:r>
          </w:p>
        </w:tc>
        <w:tc>
          <w:tcPr>
            <w:tcW w:type="dxa" w:w="3300"/>
          </w:tcPr>
          <w:p>
            <w:pPr>
              <w:spacing w:before="0" w:after="60"/>
              <w:jc w:val="left"/>
            </w:pPr>
            <w:r>
              <w:rPr>
                <w:rFonts w:ascii="Times New Roman" w:hAnsi="Times New Roman" w:eastAsia="Times New Roman" w:cs="Times New Roman"/>
                <w:b w:val="0"/>
                <w:i w:val="0"/>
                <w:caps w:val="0"/>
                <w:color w:val="000000"/>
                <w:sz w:val="26"/>
              </w:rPr>
              <w:t>Quản lý rủi ro</w:t>
            </w:r>
          </w:p>
          <w:p>
            <w:pPr>
              <w:spacing w:before="0" w:after="60"/>
              <w:jc w:val="left"/>
            </w:pPr>
            <w:r>
              <w:rPr>
                <w:rFonts w:ascii="Times New Roman" w:hAnsi="Times New Roman" w:eastAsia="Times New Roman" w:cs="Times New Roman"/>
                <w:b w:val="0"/>
                <w:i w:val="0"/>
                <w:caps w:val="0"/>
                <w:color w:val="000000"/>
                <w:sz w:val="26"/>
              </w:rPr>
              <w:t>Nhận diện, đánh giá các rủi ro chính của gói thầu (tích hợp với Main System, thời gian đến ngày cut over, hiệu năng và hoạt động liên tục), biện pháp phòng ngừa, ứng phó và theo dõi (mục 3 và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4</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(4 điểm): Nhận diện đủ các rủi ro chính, có đánh giá mức độ, biện pháp phòng ngừa, ứng phó, người phụ trách và cách theo dõi.</w:t>
            </w:r>
          </w:p>
          <w:p>
            <w:pPr>
              <w:spacing w:before="0" w:after="60"/>
              <w:jc w:val="left"/>
            </w:pPr>
            <w:r>
              <w:rPr>
                <w:rFonts w:ascii="Times New Roman" w:hAnsi="Times New Roman" w:eastAsia="Times New Roman" w:cs="Times New Roman"/>
                <w:b w:val="0"/>
                <w:i w:val="0"/>
                <w:caps w:val="0"/>
                <w:color w:val="000000"/>
                <w:sz w:val="26"/>
              </w:rPr>
              <w:t>Đạt (3 điểm): Nhận diện đủ các rủi ro chính và biện pháp ứng phó nhưng chưa đánh giá mức độ hoặc chưa có cách theo dõi.</w:t>
            </w:r>
          </w:p>
          <w:p>
            <w:pPr>
              <w:spacing w:before="0" w:after="60"/>
              <w:jc w:val="left"/>
            </w:pPr>
            <w:r>
              <w:rPr>
                <w:rFonts w:ascii="Times New Roman" w:hAnsi="Times New Roman" w:eastAsia="Times New Roman" w:cs="Times New Roman"/>
                <w:b w:val="0"/>
                <w:i w:val="0"/>
                <w:caps w:val="0"/>
                <w:color w:val="000000"/>
                <w:sz w:val="26"/>
              </w:rPr>
              <w:t>Đạt một phần (1 điểm): Chỉ nêu một số rủi ro chung, chưa gắn với gói thầu.</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4.4</w:t>
            </w:r>
          </w:p>
        </w:tc>
        <w:tc>
          <w:tcPr>
            <w:tcW w:type="dxa" w:w="3300"/>
          </w:tcPr>
          <w:p>
            <w:pPr>
              <w:spacing w:before="0" w:after="60"/>
              <w:jc w:val="left"/>
            </w:pPr>
            <w:r>
              <w:rPr>
                <w:rFonts w:ascii="Times New Roman" w:hAnsi="Times New Roman" w:eastAsia="Times New Roman" w:cs="Times New Roman"/>
                <w:b w:val="0"/>
                <w:i w:val="0"/>
                <w:caps w:val="0"/>
                <w:color w:val="000000"/>
                <w:sz w:val="26"/>
              </w:rPr>
              <w:t>Khắc phục sai sót trong thời hạn trách nhiệm</w:t>
            </w:r>
          </w:p>
          <w:p>
            <w:pPr>
              <w:spacing w:before="0" w:after="60"/>
              <w:jc w:val="left"/>
            </w:pPr>
            <w:r>
              <w:rPr>
                <w:rFonts w:ascii="Times New Roman" w:hAnsi="Times New Roman" w:eastAsia="Times New Roman" w:cs="Times New Roman"/>
                <w:b w:val="0"/>
                <w:i w:val="0"/>
                <w:caps w:val="0"/>
                <w:color w:val="000000"/>
                <w:sz w:val="26"/>
              </w:rPr>
              <w:t>Phương án tiếp nhận, phân loại và khắc phục lỗi logic, sai sót thuộc trách nhiệm của nhà thầu trong thời hạn 12 tháng kể từ ngày hệ thống được nghiệm thu, thời gian phản hồi và khắc phục (Mục 20.1 E-ĐKCT, mục 5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(3 điểm): Có quy trình tiếp nhận, phân loại theo mức độ, thời gian phản hồi và khắc phục cho từng mức, đầu mối hỗ trợ trong suốt 12 tháng.</w:t>
            </w:r>
          </w:p>
          <w:p>
            <w:pPr>
              <w:spacing w:before="0" w:after="60"/>
              <w:jc w:val="left"/>
            </w:pPr>
            <w:r>
              <w:rPr>
                <w:rFonts w:ascii="Times New Roman" w:hAnsi="Times New Roman" w:eastAsia="Times New Roman" w:cs="Times New Roman"/>
                <w:b w:val="0"/>
                <w:i w:val="0"/>
                <w:caps w:val="0"/>
                <w:color w:val="000000"/>
                <w:sz w:val="26"/>
              </w:rPr>
              <w:t>Đạt (2 điểm): Có quy trình tiếp nhận và khắc phục nhưng chưa có thời gian phản hồi cho từng mức độ.</w:t>
            </w:r>
          </w:p>
          <w:p>
            <w:pPr>
              <w:spacing w:before="0" w:after="60"/>
              <w:jc w:val="left"/>
            </w:pPr>
            <w:r>
              <w:rPr>
                <w:rFonts w:ascii="Times New Roman" w:hAnsi="Times New Roman" w:eastAsia="Times New Roman" w:cs="Times New Roman"/>
                <w:b w:val="0"/>
                <w:i w:val="0"/>
                <w:caps w:val="0"/>
                <w:color w:val="000000"/>
                <w:sz w:val="26"/>
              </w:rPr>
              <w:t>Đạt một phần (1 điểm): Chỉ nêu cam kết khắc phục chung.</w:t>
            </w:r>
          </w:p>
          <w:p>
            <w:pPr>
              <w:spacing w:before="0" w:after="60"/>
              <w:jc w:val="left"/>
            </w:pPr>
            <w:r>
              <w:rPr>
                <w:rFonts w:ascii="Times New Roman" w:hAnsi="Times New Roman" w:eastAsia="Times New Roman" w:cs="Times New Roman"/>
                <w:b w:val="0"/>
                <w:i w:val="0"/>
                <w:caps w:val="0"/>
                <w:color w:val="000000"/>
                <w:sz w:val="26"/>
              </w:rPr>
              <w:t>Không đạt (0 điểm): Không trình bày.</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5</w:t>
            </w:r>
          </w:p>
        </w:tc>
        <w:tc>
          <w:tcPr>
            <w:tcW w:type="dxa" w:w="3300"/>
          </w:tcPr>
          <w:p>
            <w:pPr>
              <w:spacing w:before="0" w:after="60"/>
              <w:jc w:val="left"/>
            </w:pPr>
            <w:r>
              <w:rPr>
                <w:rFonts w:ascii="Times New Roman" w:hAnsi="Times New Roman" w:eastAsia="Times New Roman" w:cs="Times New Roman"/>
                <w:b w:val="0"/>
                <w:i w:val="0"/>
                <w:caps w:val="0"/>
                <w:color w:val="000000"/>
                <w:sz w:val="26"/>
              </w:rPr>
              <w:t>Đề xuất khác có lợi cho thành công của dự án và thông tin về kết quả thực hiện hợp đồng của nhà thầu theo Điều 19 và Điều 20 của Nghị định số 214/2025/NĐ-CP</w:t>
            </w:r>
          </w:p>
        </w:tc>
        <w:tc>
          <w:tcPr>
            <w:tcW w:type="dxa" w:w="900"/>
          </w:tcPr>
          <w:p>
            <w:pPr>
              <w:spacing w:before="0" w:after="60"/>
              <w:jc w:val="center"/>
            </w:pPr>
            <w:r>
              <w:rPr>
                <w:rFonts w:ascii="Times New Roman" w:hAnsi="Times New Roman" w:eastAsia="Times New Roman" w:cs="Times New Roman"/>
                <w:b w:val="0"/>
                <w:i w:val="0"/>
                <w:caps w:val="0"/>
                <w:color w:val="000000"/>
                <w:sz w:val="26"/>
              </w:rPr>
              <w:t>15</w:t>
            </w:r>
          </w:p>
        </w:tc>
        <w:tc>
          <w:tcPr>
            <w:tcW w:type="dxa" w:w="1100"/>
          </w:tcPr>
          <w:p>
            <w:pPr>
              <w:spacing w:before="0" w:after="60"/>
              <w:jc w:val="center"/>
            </w:pPr>
            <w:r>
              <w:rPr>
                <w:rFonts w:ascii="Times New Roman" w:hAnsi="Times New Roman" w:eastAsia="Times New Roman" w:cs="Times New Roman"/>
                <w:b w:val="0"/>
                <w:i w:val="0"/>
                <w:caps w:val="0"/>
                <w:color w:val="000000"/>
                <w:sz w:val="26"/>
              </w:rPr>
            </w:r>
          </w:p>
        </w:tc>
        <w:tc>
          <w:tcPr>
            <w:tcW w:type="dxa" w:w="3600"/>
          </w:tcPr>
          <w:p>
            <w:pPr>
              <w:spacing w:before="0" w:after="60"/>
              <w:jc w:val="left"/>
            </w:pPr>
            <w:r>
              <w:rPr>
                <w:rFonts w:ascii="Times New Roman" w:hAnsi="Times New Roman" w:eastAsia="Times New Roman" w:cs="Times New Roman"/>
                <w:b w:val="0"/>
                <w:i w:val="0"/>
                <w:caps w:val="0"/>
                <w:color w:val="000000"/>
                <w:sz w:val="26"/>
              </w:rPr>
              <w:t>Tối thiểu 9 điểm</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5.1</w:t>
            </w:r>
          </w:p>
        </w:tc>
        <w:tc>
          <w:tcPr>
            <w:tcW w:type="dxa" w:w="3300"/>
          </w:tcPr>
          <w:p>
            <w:pPr>
              <w:spacing w:before="0" w:after="60"/>
              <w:jc w:val="left"/>
            </w:pPr>
            <w:r>
              <w:rPr>
                <w:rFonts w:ascii="Times New Roman" w:hAnsi="Times New Roman" w:eastAsia="Times New Roman" w:cs="Times New Roman"/>
                <w:b w:val="0"/>
                <w:i w:val="0"/>
                <w:caps w:val="0"/>
                <w:color w:val="000000"/>
                <w:sz w:val="26"/>
              </w:rPr>
              <w:t>Đề xuất bổ sung cần thiết cho thành công của dự án</w:t>
            </w:r>
          </w:p>
          <w:p>
            <w:pPr>
              <w:spacing w:before="0" w:after="60"/>
              <w:jc w:val="left"/>
            </w:pPr>
            <w:r>
              <w:rPr>
                <w:rFonts w:ascii="Times New Roman" w:hAnsi="Times New Roman" w:eastAsia="Times New Roman" w:cs="Times New Roman"/>
                <w:b w:val="0"/>
                <w:i w:val="0"/>
                <w:caps w:val="0"/>
                <w:color w:val="000000"/>
                <w:sz w:val="26"/>
              </w:rPr>
              <w:t>Các nội dung nhà thầu bổ sung ngoài nội dung bắt buộc tại mục 4 Chương V, cần thiết cho thành công của dự án, có phân tích lợi ích và cách thực hiện, không làm thay đổi phạm vi, thời gian thực hiện hợp đồng và không phát sinh nghĩa vụ cho Chủ đầu tư (mục 4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(5 điểm): Có từ hai đề xuất trở lên gắn với rủi ro hoặc mục tiêu cụ thể của dự án, mỗi đề xuất có phân tích lợi ích và cách thực hiện.</w:t>
            </w:r>
          </w:p>
          <w:p>
            <w:pPr>
              <w:spacing w:before="0" w:after="60"/>
              <w:jc w:val="left"/>
            </w:pPr>
            <w:r>
              <w:rPr>
                <w:rFonts w:ascii="Times New Roman" w:hAnsi="Times New Roman" w:eastAsia="Times New Roman" w:cs="Times New Roman"/>
                <w:b w:val="0"/>
                <w:i w:val="0"/>
                <w:caps w:val="0"/>
                <w:color w:val="000000"/>
                <w:sz w:val="26"/>
              </w:rPr>
              <w:t>Đạt (4,5 điểm): Có một đề xuất gắn với rủi ro hoặc mục tiêu cụ thể của dự án, có phân tích lợi ích và cách thực hiện.</w:t>
            </w:r>
          </w:p>
          <w:p>
            <w:pPr>
              <w:spacing w:before="0" w:after="60"/>
              <w:jc w:val="left"/>
            </w:pPr>
            <w:r>
              <w:rPr>
                <w:rFonts w:ascii="Times New Roman" w:hAnsi="Times New Roman" w:eastAsia="Times New Roman" w:cs="Times New Roman"/>
                <w:b w:val="0"/>
                <w:i w:val="0"/>
                <w:caps w:val="0"/>
                <w:color w:val="000000"/>
                <w:sz w:val="26"/>
              </w:rPr>
              <w:t>Đạt một phần (2 điểm): Có đề xuất nhưng nêu chung, chưa phân tích lợi ích hoặc cách thực hiện.</w:t>
            </w:r>
          </w:p>
          <w:p>
            <w:pPr>
              <w:spacing w:before="0" w:after="60"/>
              <w:jc w:val="left"/>
            </w:pPr>
            <w:r>
              <w:rPr>
                <w:rFonts w:ascii="Times New Roman" w:hAnsi="Times New Roman" w:eastAsia="Times New Roman" w:cs="Times New Roman"/>
                <w:b w:val="0"/>
                <w:i w:val="0"/>
                <w:caps w:val="0"/>
                <w:color w:val="000000"/>
                <w:sz w:val="26"/>
              </w:rPr>
              <w:t>Không đạt (0 điểm): Không có đề xuất, hoặc đề xuất làm thay đổi phạm vi, thời gian thực hiện hợp đồng hay phát sinh nghĩa vụ cho Chủ đầu tư.</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5.2</w:t>
            </w:r>
          </w:p>
        </w:tc>
        <w:tc>
          <w:tcPr>
            <w:tcW w:type="dxa" w:w="3300"/>
          </w:tcPr>
          <w:p>
            <w:pPr>
              <w:spacing w:before="0" w:after="60"/>
              <w:jc w:val="left"/>
            </w:pPr>
            <w:r>
              <w:rPr>
                <w:rFonts w:ascii="Times New Roman" w:hAnsi="Times New Roman" w:eastAsia="Times New Roman" w:cs="Times New Roman"/>
                <w:b w:val="0"/>
                <w:i w:val="0"/>
                <w:caps w:val="0"/>
                <w:color w:val="000000"/>
                <w:sz w:val="26"/>
              </w:rPr>
              <w:t>Đề xuất nâng cao hiệu quả của kênh bán hàng trực tuyến</w:t>
            </w:r>
          </w:p>
          <w:p>
            <w:pPr>
              <w:spacing w:before="0" w:after="60"/>
              <w:jc w:val="left"/>
            </w:pPr>
            <w:r>
              <w:rPr>
                <w:rFonts w:ascii="Times New Roman" w:hAnsi="Times New Roman" w:eastAsia="Times New Roman" w:cs="Times New Roman"/>
                <w:b w:val="0"/>
                <w:i w:val="0"/>
                <w:caps w:val="0"/>
                <w:color w:val="000000"/>
                <w:sz w:val="26"/>
              </w:rPr>
              <w:t>Đề xuất giúp mở rộng khách hàng qua internet và nâng cao hiệu quả của kênh bán hàng mới trong phạm vi hệ thống, ví dụ khả năng truy cập từ nhiều loại thiết bị, khả năng mở rộng khi số lượng khách hàng tăng (mục 2 và mục 3 Chương V).</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Tốt (5 điểm): Đề xuất cụ thể, gắn với mục tiêu mở rộng khách hàng qua internet, nêu rõ cách thực hiện trong phạm vi hệ thống và lợi ích dự kiến.</w:t>
            </w:r>
          </w:p>
          <w:p>
            <w:pPr>
              <w:spacing w:before="0" w:after="60"/>
              <w:jc w:val="left"/>
            </w:pPr>
            <w:r>
              <w:rPr>
                <w:rFonts w:ascii="Times New Roman" w:hAnsi="Times New Roman" w:eastAsia="Times New Roman" w:cs="Times New Roman"/>
                <w:b w:val="0"/>
                <w:i w:val="0"/>
                <w:caps w:val="0"/>
                <w:color w:val="000000"/>
                <w:sz w:val="26"/>
              </w:rPr>
              <w:t>Đạt (4,5 điểm): Đề xuất gắn với mục tiêu của dự án, có cách thực hiện trong phạm vi hệ thống nhưng lợi ích dự kiến chưa rõ.</w:t>
            </w:r>
          </w:p>
          <w:p>
            <w:pPr>
              <w:spacing w:before="0" w:after="60"/>
              <w:jc w:val="left"/>
            </w:pPr>
            <w:r>
              <w:rPr>
                <w:rFonts w:ascii="Times New Roman" w:hAnsi="Times New Roman" w:eastAsia="Times New Roman" w:cs="Times New Roman"/>
                <w:b w:val="0"/>
                <w:i w:val="0"/>
                <w:caps w:val="0"/>
                <w:color w:val="000000"/>
                <w:sz w:val="26"/>
              </w:rPr>
              <w:t>Đạt một phần (2 điểm): Đề xuất nêu chung, chưa gắn với mục tiêu của dự án.</w:t>
            </w:r>
          </w:p>
          <w:p>
            <w:pPr>
              <w:spacing w:before="0" w:after="60"/>
              <w:jc w:val="left"/>
            </w:pPr>
            <w:r>
              <w:rPr>
                <w:rFonts w:ascii="Times New Roman" w:hAnsi="Times New Roman" w:eastAsia="Times New Roman" w:cs="Times New Roman"/>
                <w:b w:val="0"/>
                <w:i w:val="0"/>
                <w:caps w:val="0"/>
                <w:color w:val="000000"/>
                <w:sz w:val="26"/>
              </w:rPr>
              <w:t>Không đạt (0 điểm): Không có đề xuất.</w:t>
            </w:r>
          </w:p>
        </w:tc>
      </w:tr>
      <w:tr>
        <w:tc>
          <w:tcPr>
            <w:tcW w:type="dxa" w:w="700"/>
          </w:tcPr>
          <w:p>
            <w:pPr>
              <w:spacing w:before="0" w:after="60"/>
              <w:jc w:val="center"/>
            </w:pPr>
            <w:r>
              <w:rPr>
                <w:rFonts w:ascii="Times New Roman" w:hAnsi="Times New Roman" w:eastAsia="Times New Roman" w:cs="Times New Roman"/>
                <w:b w:val="0"/>
                <w:i w:val="0"/>
                <w:caps w:val="0"/>
                <w:color w:val="000000"/>
                <w:sz w:val="26"/>
              </w:rPr>
              <w:t>5.3</w:t>
            </w:r>
          </w:p>
        </w:tc>
        <w:tc>
          <w:tcPr>
            <w:tcW w:type="dxa" w:w="3300"/>
          </w:tcPr>
          <w:p>
            <w:pPr>
              <w:spacing w:before="0" w:after="60"/>
              <w:jc w:val="left"/>
            </w:pPr>
            <w:r>
              <w:rPr>
                <w:rFonts w:ascii="Times New Roman" w:hAnsi="Times New Roman" w:eastAsia="Times New Roman" w:cs="Times New Roman"/>
                <w:b w:val="0"/>
                <w:i w:val="0"/>
                <w:caps w:val="0"/>
                <w:color w:val="000000"/>
                <w:sz w:val="26"/>
              </w:rPr>
              <w:t>Thông tin về kết quả thực hiện hợp đồng của nhà thầu</w:t>
            </w:r>
          </w:p>
          <w:p>
            <w:pPr>
              <w:spacing w:before="0" w:after="60"/>
              <w:jc w:val="left"/>
            </w:pPr>
            <w:r>
              <w:rPr>
                <w:rFonts w:ascii="Times New Roman" w:hAnsi="Times New Roman" w:eastAsia="Times New Roman" w:cs="Times New Roman"/>
                <w:b w:val="0"/>
                <w:i w:val="0"/>
                <w:caps w:val="0"/>
                <w:color w:val="000000"/>
                <w:sz w:val="26"/>
              </w:rPr>
              <w:t>Thông tin về kết quả thực hiện hợp đồng của nhà thầu trên Hệ thống mạng đấu thầu quốc gia theo Điều 19 và Điều 20 của Nghị định số 214/2025/NĐ-CP, xét từ ngày 01 tháng 01 năm 2024 đến thời điểm đóng thầu. Việc nhà thầu có tên trong danh sách nhà thầu có các hành vi quy định tại khoản 1 Điều 20 của Nghị định số 214/2025/NĐ-CP được xét trong thời hạn 02 năm kể từ lần cuối cùng thực hiện hành vi, như Mục 18.2 E-BDL. Đối với nhà thầu liên danh, xét thông tin của tất cả thành viên liên danh. Trường hợp thông tin của nhà thầu thuộc nhiều mức thì áp dụng mức có điểm thấp nhất.</w:t>
            </w:r>
          </w:p>
        </w:tc>
        <w:tc>
          <w:tcPr>
            <w:tcW w:type="dxa" w:w="900"/>
          </w:tcPr>
          <w:p>
            <w:pPr>
              <w:spacing w:before="0" w:after="60"/>
              <w:jc w:val="center"/>
            </w:pPr>
            <w:r>
              <w:rPr>
                <w:rFonts w:ascii="Times New Roman" w:hAnsi="Times New Roman" w:eastAsia="Times New Roman" w:cs="Times New Roman"/>
                <w:b w:val="0"/>
                <w:i w:val="0"/>
                <w:caps w:val="0"/>
                <w:color w:val="000000"/>
                <w:sz w:val="26"/>
              </w:rPr>
              <w:t>5</w:t>
            </w:r>
          </w:p>
        </w:tc>
        <w:tc>
          <w:tcPr>
            <w:tcW w:type="dxa" w:w="1100"/>
          </w:tcPr>
          <w:p>
            <w:pPr>
              <w:spacing w:before="0" w:after="60"/>
              <w:jc w:val="center"/>
            </w:pPr>
            <w:r>
              <w:rPr>
                <w:rFonts w:ascii="Times New Roman" w:hAnsi="Times New Roman" w:eastAsia="Times New Roman" w:cs="Times New Roman"/>
                <w:b w:val="0"/>
                <w:i w:val="0"/>
                <w:caps w:val="0"/>
                <w:color w:val="000000"/>
                <w:sz w:val="26"/>
              </w:rPr>
              <w:t>Không</w:t>
            </w:r>
          </w:p>
        </w:tc>
        <w:tc>
          <w:tcPr>
            <w:tcW w:type="dxa" w:w="3600"/>
          </w:tcPr>
          <w:p>
            <w:pPr>
              <w:spacing w:before="0" w:after="60"/>
              <w:jc w:val="left"/>
            </w:pPr>
            <w:r>
              <w:rPr>
                <w:rFonts w:ascii="Times New Roman" w:hAnsi="Times New Roman" w:eastAsia="Times New Roman" w:cs="Times New Roman"/>
                <w:b w:val="0"/>
                <w:i w:val="0"/>
                <w:caps w:val="0"/>
                <w:color w:val="000000"/>
                <w:sz w:val="26"/>
              </w:rPr>
              <w:t>Đạt đủ (5 điểm): Thông tin trên Hệ thống không ghi nhận hợp đồng nào của nhà thầu chậm tiến độ, chất lượng không đạt yêu cầu hoặc bị chấm dứt do lỗi của nhà thầu. Nhà thầu không có tên trong danh sách nhà thầu có các hành vi quy định tại khoản 1 Điều 20 của Nghị định số 214/2025/NĐ-CP, hoặc có tên nhưng đã quá 02 năm kể từ lần cuối cùng thực hiện hành vi.</w:t>
            </w:r>
          </w:p>
          <w:p>
            <w:pPr>
              <w:spacing w:before="0" w:after="60"/>
              <w:jc w:val="left"/>
            </w:pPr>
            <w:r>
              <w:rPr>
                <w:rFonts w:ascii="Times New Roman" w:hAnsi="Times New Roman" w:eastAsia="Times New Roman" w:cs="Times New Roman"/>
                <w:b w:val="0"/>
                <w:i w:val="0"/>
                <w:caps w:val="0"/>
                <w:color w:val="000000"/>
                <w:sz w:val="26"/>
              </w:rPr>
              <w:t>Đạt một phần (3 điểm): Thông tin trên Hệ thống ghi nhận hợp đồng của nhà thầu chậm tiến độ hoặc chất lượng không đạt yêu cầu do lỗi của nhà thầu, không có hợp đồng bị chấm dứt do lỗi của nhà thầu.</w:t>
            </w:r>
          </w:p>
          <w:p>
            <w:pPr>
              <w:spacing w:before="0" w:after="60"/>
              <w:jc w:val="left"/>
            </w:pPr>
            <w:r>
              <w:rPr>
                <w:rFonts w:ascii="Times New Roman" w:hAnsi="Times New Roman" w:eastAsia="Times New Roman" w:cs="Times New Roman"/>
                <w:b w:val="0"/>
                <w:i w:val="0"/>
                <w:caps w:val="0"/>
                <w:color w:val="000000"/>
                <w:sz w:val="26"/>
              </w:rPr>
              <w:t>Đạt mức thấp (1 điểm): Thông tin trên Hệ thống ghi nhận hợp đồng của nhà thầu bị chấm dứt do lỗi của nhà thầu.</w:t>
            </w:r>
          </w:p>
          <w:p>
            <w:pPr>
              <w:spacing w:before="0" w:after="60"/>
              <w:jc w:val="left"/>
            </w:pPr>
            <w:r>
              <w:rPr>
                <w:rFonts w:ascii="Times New Roman" w:hAnsi="Times New Roman" w:eastAsia="Times New Roman" w:cs="Times New Roman"/>
                <w:b w:val="0"/>
                <w:i w:val="0"/>
                <w:caps w:val="0"/>
                <w:color w:val="000000"/>
                <w:sz w:val="26"/>
              </w:rPr>
              <w:t>Không đạt (0 điểm): Nhà thầu có tên trong danh sách nhà thầu có các hành vi quy định tại khoản 1 Điều 20 của Nghị định số 214/2025/NĐ-CP, chưa quá 02 năm kể từ lần cuối cùng thực hiện hành vi.</w:t>
            </w:r>
          </w:p>
        </w:tc>
      </w:tr>
    </w:tbl>
    <w:p>
      <w:pPr>
        <w:spacing w:before="0" w:after="100" w:line="300" w:lineRule="auto"/>
        <w:jc w:val="both"/>
      </w:pPr>
      <w:r>
        <w:rPr>
          <w:rFonts w:ascii="Times New Roman" w:hAnsi="Times New Roman" w:eastAsia="Times New Roman" w:cs="Times New Roman"/>
          <w:b w:val="0"/>
          <w:i w:val="0"/>
          <w:caps w:val="0"/>
          <w:color w:val="000000"/>
          <w:sz w:val="26"/>
        </w:rPr>
        <w:t>Điều kiện khác, đề nghị đối với Chủ đầu tư mà nhà thầu nêu trong E-HSDT không được tính điểm kỹ thuật. Các nội dung này được xem xét theo Mục 24 và Mục 25 E-CDNT về sai khác, đặt điều kiện và tính đáp ứng của E-HSDT.</w:t>
      </w:r>
    </w:p>
    <w:p>
      <w:pPr>
        <w:spacing w:before="0" w:after="100" w:line="300" w:lineRule="auto"/>
        <w:jc w:val="both"/>
      </w:pPr>
      <w:r>
        <w:rPr>
          <w:rFonts w:ascii="Times New Roman" w:hAnsi="Times New Roman" w:eastAsia="Times New Roman" w:cs="Times New Roman"/>
          <w:b w:val="0"/>
          <w:i w:val="0"/>
          <w:caps w:val="0"/>
          <w:color w:val="000000"/>
          <w:sz w:val="26"/>
        </w:rPr>
        <w:t>E-HSDT đạt yêu cầu về kỹ thuật khi tổng điểm kỹ thuật không thấp hơn 70 điểm, từng tiêu chí tổng quát không thấp hơn mức điểm tối thiểu và từng tiêu chí chi tiết cơ bản có quy định mức điểm tối thiểu không thấp hơn mức đó.</w:t>
      </w:r>
    </w:p>
    <w:p>
      <w:pPr>
        <w:pStyle w:val="Heading2"/>
        <w:spacing w:before="200" w:after="120"/>
        <w:jc w:val="left"/>
      </w:pPr>
      <w:r>
        <w:rPr>
          <w:rFonts w:ascii="Times New Roman" w:hAnsi="Times New Roman" w:eastAsia="Times New Roman" w:cs="Times New Roman"/>
          <w:b w:val="0"/>
          <w:i w:val="0"/>
          <w:caps w:val="0"/>
          <w:color w:val="000000"/>
          <w:sz w:val="26"/>
        </w:rPr>
        <w:t>Mục 4. Tiêu chuẩn đánh giá về tài chính</w:t>
      </w:r>
    </w:p>
    <w:p>
      <w:pPr>
        <w:spacing w:before="0" w:after="100" w:line="300" w:lineRule="auto"/>
        <w:jc w:val="both"/>
      </w:pPr>
      <w:r>
        <w:rPr>
          <w:rFonts w:ascii="Times New Roman" w:hAnsi="Times New Roman" w:eastAsia="Times New Roman" w:cs="Times New Roman"/>
          <w:b w:val="0"/>
          <w:i w:val="0"/>
          <w:caps w:val="0"/>
          <w:color w:val="000000"/>
          <w:sz w:val="26"/>
        </w:rPr>
        <w:t>Áp dụng phương pháp giá thấp nhất. Bước 1: xác định giá dự thầu, trừ đi giá trị giảm giá (nếu có). Bước 2: xác định ưu đãi (nếu có) theo Mục 28 E-CDNT. Bước 3: xếp hạng nhà thầu, E-HSDT có giá dự thầu trừ đi giá trị giảm giá (nếu có), sau ưu đãi (nếu có) thấp nhất được xếp hạng thứ nhất. Chỉ E-HSDT đáp ứng yêu cầu về năng lực, kinh nghiệm và về kỹ thuật mới được xem xét về giá. Giá đề nghị trúng thầu không vượt giá gói thầu.</w:t>
      </w:r>
    </w:p>
    <w:p>
      <w:pPr>
        <w:pStyle w:val="Heading2"/>
        <w:spacing w:before="200" w:after="120"/>
        <w:jc w:val="left"/>
      </w:pPr>
      <w:r>
        <w:rPr>
          <w:rFonts w:ascii="Times New Roman" w:hAnsi="Times New Roman" w:eastAsia="Times New Roman" w:cs="Times New Roman"/>
          <w:b w:val="0"/>
          <w:i w:val="0"/>
          <w:caps w:val="0"/>
          <w:color w:val="000000"/>
          <w:sz w:val="26"/>
        </w:rPr>
        <w:t>Mục 5. Phương án kỹ thuật thay thế trong E-HSDT</w:t>
      </w:r>
    </w:p>
    <w:p>
      <w:pPr>
        <w:spacing w:before="0" w:after="100" w:line="300" w:lineRule="auto"/>
        <w:jc w:val="both"/>
      </w:pPr>
      <w:r>
        <w:rPr>
          <w:rFonts w:ascii="Times New Roman" w:hAnsi="Times New Roman" w:eastAsia="Times New Roman" w:cs="Times New Roman"/>
          <w:b w:val="0"/>
          <w:i w:val="0"/>
          <w:caps w:val="0"/>
          <w:color w:val="000000"/>
          <w:sz w:val="26"/>
        </w:rPr>
        <w:t>Không áp dụng, do nhà thầu không được phép nộp phương án kỹ thuật thay thế theo Mục 12.1 E-BDL.</w:t>
      </w:r>
    </w:p>
    <w:p>
      <w:pPr>
        <w:pStyle w:val="Heading2"/>
        <w:spacing w:before="200" w:after="120"/>
        <w:jc w:val="left"/>
      </w:pPr>
      <w:r>
        <w:rPr>
          <w:rFonts w:ascii="Times New Roman" w:hAnsi="Times New Roman" w:eastAsia="Times New Roman" w:cs="Times New Roman"/>
          <w:b w:val="0"/>
          <w:i w:val="0"/>
          <w:caps w:val="0"/>
          <w:color w:val="000000"/>
          <w:sz w:val="26"/>
        </w:rPr>
        <w:t>Mục 6. Trường hợp gói thầu chia thành nhiều phần độc lập</w:t>
      </w:r>
    </w:p>
    <w:p>
      <w:pPr>
        <w:spacing w:before="0" w:after="100" w:line="300" w:lineRule="auto"/>
        <w:jc w:val="both"/>
      </w:pPr>
      <w:r>
        <w:rPr>
          <w:rFonts w:ascii="Times New Roman" w:hAnsi="Times New Roman" w:eastAsia="Times New Roman" w:cs="Times New Roman"/>
          <w:b w:val="0"/>
          <w:i w:val="0"/>
          <w:caps w:val="0"/>
          <w:color w:val="000000"/>
          <w:sz w:val="26"/>
        </w:rPr>
        <w:t>Không áp dụng, do gói thầu không chia phần.</w:t>
      </w:r>
    </w:p>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IV. Biểu mẫu mời thầu và dự thầu</w:t>
      </w:r>
    </w:p>
    <w:p>
      <w:pPr>
        <w:pStyle w:val="Heading2"/>
        <w:spacing w:before="200" w:after="120"/>
        <w:jc w:val="left"/>
      </w:pPr>
      <w:r>
        <w:rPr>
          <w:rFonts w:ascii="Times New Roman" w:hAnsi="Times New Roman" w:eastAsia="Times New Roman" w:cs="Times New Roman"/>
          <w:b w:val="0"/>
          <w:i w:val="0"/>
          <w:caps w:val="0"/>
          <w:color w:val="000000"/>
          <w:sz w:val="26"/>
        </w:rPr>
        <w:t>1. Danh mục biểu mẫu</w:t>
      </w:r>
    </w:p>
    <w:p>
      <w:pPr>
        <w:spacing w:before="0" w:after="100" w:line="300" w:lineRule="auto"/>
        <w:jc w:val="both"/>
      </w:pPr>
      <w:r>
        <w:rPr>
          <w:rFonts w:ascii="Times New Roman" w:hAnsi="Times New Roman" w:eastAsia="Times New Roman" w:cs="Times New Roman"/>
          <w:b w:val="0"/>
          <w:i w:val="0"/>
          <w:caps w:val="0"/>
          <w:color w:val="000000"/>
          <w:sz w:val="26"/>
        </w:rPr>
        <w:t>Các biểu mẫu được số hóa dưới dạng webform và sử dụng theo Mẫu số 5A ban hành kèm theo Thông tư số 79/2025/TT-BTC.</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3600"/>
        <w:gridCol w:w="1800"/>
        <w:gridCol w:w="1200"/>
        <w:gridCol w:w="24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3600"/>
          </w:tcPr>
          <w:p>
            <w:pPr>
              <w:spacing w:before="0" w:after="60"/>
              <w:jc w:val="left"/>
            </w:pPr>
            <w:r>
              <w:rPr>
                <w:rFonts w:ascii="Times New Roman" w:hAnsi="Times New Roman" w:eastAsia="Times New Roman" w:cs="Times New Roman"/>
                <w:b w:val="0"/>
                <w:i w:val="0"/>
                <w:caps w:val="0"/>
                <w:color w:val="000000"/>
                <w:sz w:val="26"/>
              </w:rPr>
              <w:t>Biểu mẫu</w:t>
            </w:r>
          </w:p>
        </w:tc>
        <w:tc>
          <w:tcPr>
            <w:tcW w:type="dxa" w:w="1800"/>
          </w:tcPr>
          <w:p>
            <w:pPr>
              <w:spacing w:before="0" w:after="60"/>
              <w:jc w:val="left"/>
            </w:pPr>
            <w:r>
              <w:rPr>
                <w:rFonts w:ascii="Times New Roman" w:hAnsi="Times New Roman" w:eastAsia="Times New Roman" w:cs="Times New Roman"/>
                <w:b w:val="0"/>
                <w:i w:val="0"/>
                <w:caps w:val="0"/>
                <w:color w:val="000000"/>
                <w:sz w:val="26"/>
              </w:rPr>
              <w:t>Cách thức thực hiện</w:t>
            </w:r>
          </w:p>
        </w:tc>
        <w:tc>
          <w:tcPr>
            <w:tcW w:type="dxa" w:w="1200"/>
          </w:tcPr>
          <w:p>
            <w:pPr>
              <w:spacing w:before="0" w:after="60"/>
              <w:jc w:val="left"/>
            </w:pPr>
            <w:r>
              <w:rPr>
                <w:rFonts w:ascii="Times New Roman" w:hAnsi="Times New Roman" w:eastAsia="Times New Roman" w:cs="Times New Roman"/>
                <w:b w:val="0"/>
                <w:i w:val="0"/>
                <w:caps w:val="0"/>
                <w:color w:val="000000"/>
                <w:sz w:val="26"/>
              </w:rPr>
              <w:t>Trách nhiệm thực hiện</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01A. Phạm vi cung cấp (áp dụng đối với loại hợp đồng trọn gói, hợp đồng theo kết quả đầu ra)</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nội dung tại mục 2 Chương này</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01B. Phạm vi cung cấp (áp dụng đối với loại hợp đồng theo đơn giá cố định)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01C. Phạm vi cung cấp (áp dụng đối với loại hợp đồng theo đơn giá điều chỉnh)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01D. Phạm vi cung cấp (áp dụng đối với loại hợp đồng theo tỷ lệ phần trăm)</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01E. Phạm vi cung cấp (áp dụng đối với loại hợp đồng theo thời gian)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01G. Phạm vi cung cấp (áp dụng đối với loại hợp đồng hỗn hợp)</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7</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02. Đơn dự thầu</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8</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03. Thỏa thuận liên danh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đối với nhà thầu liên danh</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9</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04A. Bảo lãnh dự thầu (áp dụng trong trường hợp nhà thầu độc lập)</w:t>
            </w:r>
          </w:p>
        </w:tc>
        <w:tc>
          <w:tcPr>
            <w:tcW w:type="dxa" w:w="1800"/>
          </w:tcPr>
          <w:p>
            <w:pPr>
              <w:spacing w:before="0" w:after="60"/>
              <w:jc w:val="left"/>
            </w:pPr>
            <w:r>
              <w:rPr>
                <w:rFonts w:ascii="Times New Roman" w:hAnsi="Times New Roman" w:eastAsia="Times New Roman" w:cs="Times New Roman"/>
                <w:b w:val="0"/>
                <w:i w:val="0"/>
                <w:caps w:val="0"/>
                <w:color w:val="000000"/>
                <w:sz w:val="26"/>
              </w:rPr>
              <w:t>Scan đính kèm lên Hệ thống hoặc bảo lãnh điện tử</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được mời đối chiếu tài liệu hoặc khi vi phạm theo Mục 18.8 E-CDNT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10</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04B. Bảo lãnh dự thầu (áp dụng trong trường hợp nhà thầu liên danh)</w:t>
            </w:r>
          </w:p>
        </w:tc>
        <w:tc>
          <w:tcPr>
            <w:tcW w:type="dxa" w:w="1800"/>
          </w:tcPr>
          <w:p>
            <w:pPr>
              <w:spacing w:before="0" w:after="60"/>
              <w:jc w:val="left"/>
            </w:pPr>
            <w:r>
              <w:rPr>
                <w:rFonts w:ascii="Times New Roman" w:hAnsi="Times New Roman" w:eastAsia="Times New Roman" w:cs="Times New Roman"/>
                <w:b w:val="0"/>
                <w:i w:val="0"/>
                <w:caps w:val="0"/>
                <w:color w:val="000000"/>
                <w:sz w:val="26"/>
              </w:rPr>
              <w:t>Scan đính kèm lên Hệ thống hoặc bảo lãnh điện tử</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được mời đối chiếu tài liệu hoặc khi vi phạm theo Mục 18.8 E-CDNT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11</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05. Hợp đồng tương tự do nhà thầu thực hiện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12</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06A. Bảng đề xuất nhân sự chủ chốt</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13</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06B. Bảng lý lịch chuyên môn của nhân sự chủ chốt</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14</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06C. Bảng kinh nghiệm chuyên môn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15</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06D. Bảng kê khai thiết bị chủ yếu</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không yêu cầu thiết bị chủ yếu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16</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07. Hợp đồng cung cấp dịch vụ phi tư vấn không hoàn thành do lỗi của nhà thầu trong quá khứ</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17</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08. Tình hình tài chính của nhà thầu</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18</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09A. Phạm vi công việc sử dụng nhà thầu phụ</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sử dụng nhà thầu phụ</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19</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09B. Danh sách các công ty con, công ty thành viên đảm nhận phần công việc của gói thầu</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có</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20</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10A. Bảng tiến độ thực hiện (áp dụng đối với loại hợp đồng trọn gói, hợp đồng theo kết quả đầu ra, hợp đồng theo đơn giá cố định, hợp đồng theo đơn giá điều chỉnh)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21</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10B. Bảng tiến độ thực hiện (áp dụng đối với loại hợp đồng theo tỷ lệ phần trăm)</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22</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10C. Bảng tiến độ thực hiện (áp dụng đối với loại hợp đồng theo thời gian)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23</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10D. Bảng tiến độ thực hiện (áp dụng đối với loại hợp đồng hỗn hợp)</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24</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11A. Bảng giá dự thầu (áp dụng đối với loại hợp đồng trọn gói, hợp đồng theo kết quả đầu ra)</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25</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11B. Bảng giá dự thầu (áp dụng đối với loại hợp đồng theo đơn giá cố định)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26</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11C. Bảng giá dự thầu (áp dụng đối với loại hợp đồng theo đơn giá điều chỉnh)</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27</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11D. Bảng giá dự thầu (áp dụng đối với loại hợp đồng theo tỷ lệ phần trăm)</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28</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11E. Bảng giá dự thầu (áp dụng đối với loại hợp đồng theo thời gian)</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29</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11G. Bảng giá dự thầu (áp dụng đối với loại hợp đồng hỗn hợp)</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30</w:t>
            </w:r>
          </w:p>
        </w:tc>
        <w:tc>
          <w:tcPr>
            <w:tcW w:type="dxa" w:w="3600"/>
          </w:tcPr>
          <w:p>
            <w:pPr>
              <w:spacing w:before="0" w:after="60"/>
              <w:jc w:val="left"/>
            </w:pPr>
            <w:r>
              <w:rPr>
                <w:rFonts w:ascii="Times New Roman" w:hAnsi="Times New Roman" w:eastAsia="Times New Roman" w:cs="Times New Roman"/>
                <w:b w:val="0"/>
                <w:i w:val="0"/>
                <w:caps w:val="0"/>
                <w:color w:val="000000"/>
                <w:sz w:val="26"/>
              </w:rPr>
              <w:t>Mẫu số 12. Bảng kê khai dịch vụ được hưởng ưu đãi</w:t>
            </w:r>
          </w:p>
        </w:tc>
        <w:tc>
          <w:tcPr>
            <w:tcW w:type="dxa" w:w="1800"/>
          </w:tcPr>
          <w:p>
            <w:pPr>
              <w:spacing w:before="0" w:after="60"/>
              <w:jc w:val="left"/>
            </w:pPr>
            <w:r>
              <w:rPr>
                <w:rFonts w:ascii="Times New Roman" w:hAnsi="Times New Roman" w:eastAsia="Times New Roman" w:cs="Times New Roman"/>
                <w:b w:val="0"/>
                <w:i w:val="0"/>
                <w:caps w:val="0"/>
                <w:color w:val="000000"/>
                <w:sz w:val="26"/>
              </w:rPr>
              <w:t>Webform</w:t>
            </w:r>
          </w:p>
        </w:tc>
        <w:tc>
          <w:tcPr>
            <w:tcW w:type="dxa" w:w="12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2400"/>
          </w:tcPr>
          <w:p>
            <w:pPr>
              <w:spacing w:before="0" w:after="60"/>
              <w:jc w:val="left"/>
            </w:pPr>
            <w:r>
              <w:rPr>
                <w:rFonts w:ascii="Times New Roman" w:hAnsi="Times New Roman" w:eastAsia="Times New Roman" w:cs="Times New Roman"/>
                <w:b w:val="0"/>
                <w:i w:val="0"/>
                <w:caps w:val="0"/>
                <w:color w:val="000000"/>
                <w:sz w:val="26"/>
              </w:rPr>
              <w:t>Áp dụng khi có</w:t>
            </w:r>
          </w:p>
        </w:tc>
      </w:tr>
    </w:tbl>
    <w:p>
      <w:pPr>
        <w:pStyle w:val="Heading2"/>
        <w:spacing w:before="200" w:after="120"/>
        <w:jc w:val="left"/>
      </w:pPr>
      <w:r>
        <w:rPr>
          <w:rFonts w:ascii="Times New Roman" w:hAnsi="Times New Roman" w:eastAsia="Times New Roman" w:cs="Times New Roman"/>
          <w:b w:val="0"/>
          <w:i w:val="0"/>
          <w:caps w:val="0"/>
          <w:color w:val="000000"/>
          <w:sz w:val="26"/>
        </w:rPr>
        <w:t>2. Mẫu số 01A. Phạm vi cung cấp (hợp đồng trọn gói)</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500"/>
        <w:gridCol w:w="1900"/>
        <w:gridCol w:w="2200"/>
        <w:gridCol w:w="900"/>
        <w:gridCol w:w="800"/>
        <w:gridCol w:w="1800"/>
        <w:gridCol w:w="1500"/>
      </w:tblGrid>
      <w:tr>
        <w:trPr>
          <w:tblHeader/>
        </w:trPr>
        <w:tc>
          <w:tcPr>
            <w:tcW w:type="dxa" w:w="500"/>
          </w:tcPr>
          <w:p>
            <w:pPr>
              <w:spacing w:before="0" w:after="60"/>
              <w:jc w:val="center"/>
            </w:pPr>
            <w:r>
              <w:rPr>
                <w:rFonts w:ascii="Times New Roman" w:hAnsi="Times New Roman" w:eastAsia="Times New Roman" w:cs="Times New Roman"/>
                <w:b w:val="0"/>
                <w:i w:val="0"/>
                <w:caps w:val="0"/>
                <w:color w:val="000000"/>
                <w:sz w:val="26"/>
              </w:rPr>
              <w:t>STT</w:t>
            </w:r>
          </w:p>
        </w:tc>
        <w:tc>
          <w:tcPr>
            <w:tcW w:type="dxa" w:w="1900"/>
          </w:tcPr>
          <w:p>
            <w:pPr>
              <w:spacing w:before="0" w:after="60"/>
              <w:jc w:val="left"/>
            </w:pPr>
            <w:r>
              <w:rPr>
                <w:rFonts w:ascii="Times New Roman" w:hAnsi="Times New Roman" w:eastAsia="Times New Roman" w:cs="Times New Roman"/>
                <w:b w:val="0"/>
                <w:i w:val="0"/>
                <w:caps w:val="0"/>
                <w:color w:val="000000"/>
                <w:sz w:val="26"/>
              </w:rPr>
              <w:t>Danh mục dịch vụ</w:t>
            </w:r>
          </w:p>
        </w:tc>
        <w:tc>
          <w:tcPr>
            <w:tcW w:type="dxa" w:w="2200"/>
          </w:tcPr>
          <w:p>
            <w:pPr>
              <w:spacing w:before="0" w:after="60"/>
              <w:jc w:val="left"/>
            </w:pPr>
            <w:r>
              <w:rPr>
                <w:rFonts w:ascii="Times New Roman" w:hAnsi="Times New Roman" w:eastAsia="Times New Roman" w:cs="Times New Roman"/>
                <w:b w:val="0"/>
                <w:i w:val="0"/>
                <w:caps w:val="0"/>
                <w:color w:val="000000"/>
                <w:sz w:val="26"/>
              </w:rPr>
              <w:t>Mô tả dịch vụ</w:t>
            </w:r>
          </w:p>
        </w:tc>
        <w:tc>
          <w:tcPr>
            <w:tcW w:type="dxa" w:w="900"/>
          </w:tcPr>
          <w:p>
            <w:pPr>
              <w:spacing w:before="0" w:after="60"/>
              <w:jc w:val="center"/>
            </w:pPr>
            <w:r>
              <w:rPr>
                <w:rFonts w:ascii="Times New Roman" w:hAnsi="Times New Roman" w:eastAsia="Times New Roman" w:cs="Times New Roman"/>
                <w:b w:val="0"/>
                <w:i w:val="0"/>
                <w:caps w:val="0"/>
                <w:color w:val="000000"/>
                <w:sz w:val="26"/>
              </w:rPr>
              <w:t>Khối lượng mời thầu</w:t>
            </w:r>
          </w:p>
        </w:tc>
        <w:tc>
          <w:tcPr>
            <w:tcW w:type="dxa" w:w="800"/>
          </w:tcPr>
          <w:p>
            <w:pPr>
              <w:spacing w:before="0" w:after="60"/>
              <w:jc w:val="center"/>
            </w:pPr>
            <w:r>
              <w:rPr>
                <w:rFonts w:ascii="Times New Roman" w:hAnsi="Times New Roman" w:eastAsia="Times New Roman" w:cs="Times New Roman"/>
                <w:b w:val="0"/>
                <w:i w:val="0"/>
                <w:caps w:val="0"/>
                <w:color w:val="000000"/>
                <w:sz w:val="26"/>
              </w:rPr>
              <w:t>Đơn vị tính</w:t>
            </w:r>
          </w:p>
        </w:tc>
        <w:tc>
          <w:tcPr>
            <w:tcW w:type="dxa" w:w="1800"/>
          </w:tcPr>
          <w:p>
            <w:pPr>
              <w:spacing w:before="0" w:after="60"/>
              <w:jc w:val="left"/>
            </w:pPr>
            <w:r>
              <w:rPr>
                <w:rFonts w:ascii="Times New Roman" w:hAnsi="Times New Roman" w:eastAsia="Times New Roman" w:cs="Times New Roman"/>
                <w:b w:val="0"/>
                <w:i w:val="0"/>
                <w:caps w:val="0"/>
                <w:color w:val="000000"/>
                <w:sz w:val="26"/>
              </w:rPr>
              <w:t>Địa điểm thực hiện dịch vụ</w:t>
            </w:r>
          </w:p>
        </w:tc>
        <w:tc>
          <w:tcPr>
            <w:tcW w:type="dxa" w:w="1500"/>
          </w:tcPr>
          <w:p>
            <w:pPr>
              <w:spacing w:before="0" w:after="60"/>
              <w:jc w:val="left"/>
            </w:pPr>
            <w:r>
              <w:rPr>
                <w:rFonts w:ascii="Times New Roman" w:hAnsi="Times New Roman" w:eastAsia="Times New Roman" w:cs="Times New Roman"/>
                <w:b w:val="0"/>
                <w:i w:val="0"/>
                <w:caps w:val="0"/>
                <w:color w:val="000000"/>
                <w:sz w:val="26"/>
              </w:rPr>
              <w:t>Ngày hoàn thành dịch vụ</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w:t>
            </w:r>
          </w:p>
        </w:tc>
        <w:tc>
          <w:tcPr>
            <w:tcW w:type="dxa" w:w="1900"/>
          </w:tcPr>
          <w:p>
            <w:pPr>
              <w:spacing w:before="0" w:after="60"/>
              <w:jc w:val="left"/>
            </w:pPr>
            <w:r>
              <w:rPr>
                <w:rFonts w:ascii="Times New Roman" w:hAnsi="Times New Roman" w:eastAsia="Times New Roman" w:cs="Times New Roman"/>
                <w:b w:val="0"/>
                <w:i w:val="0"/>
                <w:caps w:val="0"/>
                <w:color w:val="000000"/>
                <w:sz w:val="26"/>
              </w:rPr>
              <w:t>Phân tích hệ thống và lập đặc tả hệ thống (Specification)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3.3 và 3.5. Phân tích yêu cầu, lập đặc tả Web Selling Site System gồm cấu hình cơ sở dữ liệu (DB Configuration), chức năng (Function) và điều kiện đo các yêu cầu phi chức năng, được hai bên xác nhận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2</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quy trình vận hành mới (New Operational Flow)</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3.3. Lập quy trình vận hành mới của kênh bán hàng trực tuyến, gắn với các chức năng của hệ thống và Main System</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3</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cấu trúc cơ sở dữ liệu (Database Structure) của Selling DB</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3.3. Thiết kế cấu trúc cơ sở dữ liệu bán hàng phù hợp với đặc tả và yêu cầu tích hợp với Main System</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4</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sơ đồ phân cấp menu (Menu Layer) và giao diện ưu tiên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3.3 và 3.4. Thiết kế hệ thống menu và giao diện các màn hình chính của chức năng tìm kiếm sản phẩm, quản lý thành viên, đặt hàng, bảo đảm khách hàng thao tác dễ dàng</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5</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tìm kiếm sản phẩm (Product Search)</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cho khách hàng tìm kiếm sản phẩm qua internet</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6</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quản lý thành viên (Member Administration)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đăng ký và quản lý thông tin thành viên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7</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đặt hàng (Order)</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cho khách hàng đặt hàng trực tuyến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8</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cơ sở dữ liệu bán hàng (Selling DB)</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Xây dựng Selling DB theo cấu trúc cơ sở dữ liệu được xác nhận tại hạng mục 3</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9</w:t>
            </w:r>
          </w:p>
        </w:tc>
        <w:tc>
          <w:tcPr>
            <w:tcW w:type="dxa" w:w="1900"/>
          </w:tcPr>
          <w:p>
            <w:pPr>
              <w:spacing w:before="0" w:after="60"/>
              <w:jc w:val="left"/>
            </w:pPr>
            <w:r>
              <w:rPr>
                <w:rFonts w:ascii="Times New Roman" w:hAnsi="Times New Roman" w:eastAsia="Times New Roman" w:cs="Times New Roman"/>
                <w:b w:val="0"/>
                <w:i w:val="0"/>
                <w:caps w:val="0"/>
                <w:color w:val="000000"/>
                <w:sz w:val="26"/>
              </w:rPr>
              <w:t>Tích hợp với hệ thống chính (Main System)</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Kết nối và trao đổi dữ liệu giữa Selling DB và Main System, phục vụ quản trị bán hàng, sản phẩm, logistics, giao dịch và vận chuyển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10</w:t>
            </w:r>
          </w:p>
        </w:tc>
        <w:tc>
          <w:tcPr>
            <w:tcW w:type="dxa" w:w="1900"/>
          </w:tcPr>
          <w:p>
            <w:pPr>
              <w:spacing w:before="0" w:after="60"/>
              <w:jc w:val="left"/>
            </w:pPr>
            <w:r>
              <w:rPr>
                <w:rFonts w:ascii="Times New Roman" w:hAnsi="Times New Roman" w:eastAsia="Times New Roman" w:cs="Times New Roman"/>
                <w:b w:val="0"/>
                <w:i w:val="0"/>
                <w:caps w:val="0"/>
                <w:color w:val="000000"/>
                <w:sz w:val="26"/>
              </w:rPr>
              <w:t>Kiểm thử hệ thống</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3.4 và 3.5. Kiểm thử chức năng trên môi trường kiểm thử do nhà thầu cung cấp, kiểm thử tích hợp trên môi trường thử của Main System, kiểm thử các yêu cầu phi chức năng về hoạt động liên tục, thời gian phản hồi theo điều kiện đo đã xác nhận trên hạ tầng vận hành chính thức</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11</w:t>
            </w:r>
          </w:p>
        </w:tc>
        <w:tc>
          <w:tcPr>
            <w:tcW w:type="dxa" w:w="1900"/>
          </w:tcPr>
          <w:p>
            <w:pPr>
              <w:spacing w:before="0" w:after="60"/>
              <w:jc w:val="left"/>
            </w:pPr>
            <w:r>
              <w:rPr>
                <w:rFonts w:ascii="Times New Roman" w:hAnsi="Times New Roman" w:eastAsia="Times New Roman" w:cs="Times New Roman"/>
                <w:b w:val="0"/>
                <w:i w:val="0"/>
                <w:caps w:val="0"/>
                <w:color w:val="000000"/>
                <w:sz w:val="26"/>
              </w:rPr>
              <w:t>Kiểm thử vận hành (Operation Test)</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và 3.5. Kiểm thử hệ thống trên hạ tầng vận hành chính thức theo quy trình vận hành mới, có sự tham gia của Chủ đầu tư</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12</w:t>
            </w:r>
          </w:p>
        </w:tc>
        <w:tc>
          <w:tcPr>
            <w:tcW w:type="dxa" w:w="1900"/>
          </w:tcPr>
          <w:p>
            <w:pPr>
              <w:spacing w:before="0" w:after="60"/>
              <w:jc w:val="left"/>
            </w:pPr>
            <w:r>
              <w:rPr>
                <w:rFonts w:ascii="Times New Roman" w:hAnsi="Times New Roman" w:eastAsia="Times New Roman" w:cs="Times New Roman"/>
                <w:b w:val="0"/>
                <w:i w:val="0"/>
                <w:caps w:val="0"/>
                <w:color w:val="000000"/>
                <w:sz w:val="26"/>
              </w:rPr>
              <w:t>Chuyển giao và hướng dẫn vận hành hệ thống</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và 3.3. Bàn giao tài liệu chuyển giao nêu tại mục 3.3, hướng dẫn cán bộ của Chủ đầu tư vận hành hệ thống theo quy trình vận hành mới</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13</w:t>
            </w:r>
          </w:p>
        </w:tc>
        <w:tc>
          <w:tcPr>
            <w:tcW w:type="dxa" w:w="1900"/>
          </w:tcPr>
          <w:p>
            <w:pPr>
              <w:spacing w:before="0" w:after="60"/>
              <w:jc w:val="left"/>
            </w:pPr>
            <w:r>
              <w:rPr>
                <w:rFonts w:ascii="Times New Roman" w:hAnsi="Times New Roman" w:eastAsia="Times New Roman" w:cs="Times New Roman"/>
                <w:b w:val="0"/>
                <w:i w:val="0"/>
                <w:caps w:val="0"/>
                <w:color w:val="000000"/>
                <w:sz w:val="26"/>
              </w:rPr>
              <w:t>Hỗ trợ đưa hệ thống vào vận hành (cut over)</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Chuyển hệ thống sang vận hành chính thức ngày 01/07/2027</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 Số 10 phố Giả Định, phường Cầu Giấy, thành phố Hà Nội</w:t>
            </w:r>
          </w:p>
        </w:tc>
        <w:tc>
          <w:tcPr>
            <w:tcW w:type="dxa" w:w="1500"/>
          </w:tcPr>
          <w:p>
            <w:pPr>
              <w:spacing w:before="0" w:after="60"/>
              <w:jc w:val="left"/>
            </w:pPr>
            <w:r>
              <w:rPr>
                <w:rFonts w:ascii="Times New Roman" w:hAnsi="Times New Roman" w:eastAsia="Times New Roman" w:cs="Times New Roman"/>
                <w:b w:val="0"/>
                <w:i w:val="0"/>
                <w:caps w:val="0"/>
                <w:color w:val="000000"/>
                <w:sz w:val="26"/>
              </w:rPr>
              <w:t>01/07/2027</w:t>
            </w:r>
          </w:p>
        </w:tc>
      </w:tr>
    </w:tbl>
    <w:p>
      <w:r>
        <w:br w:type="page"/>
      </w:r>
    </w:p>
    <w:p>
      <w:pPr>
        <w:spacing w:before="0" w:after="120"/>
        <w:jc w:val="center"/>
      </w:pPr>
      <w:r>
        <w:rPr>
          <w:rFonts w:ascii="Times New Roman" w:hAnsi="Times New Roman" w:eastAsia="Times New Roman" w:cs="Times New Roman"/>
          <w:b w:val="0"/>
          <w:i w:val="0"/>
          <w:caps w:val="0"/>
          <w:color w:val="000000"/>
          <w:sz w:val="32"/>
        </w:rPr>
        <w:t>Phần 2. Yêu cầu về kỹ thuật</w:t>
      </w:r>
    </w:p>
    <w:p>
      <w:pPr>
        <w:pStyle w:val="Heading1"/>
        <w:spacing w:before="240" w:after="160"/>
        <w:jc w:val="center"/>
      </w:pPr>
      <w:r>
        <w:rPr>
          <w:rFonts w:ascii="Times New Roman" w:hAnsi="Times New Roman" w:eastAsia="Times New Roman" w:cs="Times New Roman"/>
          <w:b w:val="0"/>
          <w:i w:val="0"/>
          <w:caps w:val="0"/>
          <w:color w:val="000000"/>
          <w:sz w:val="30"/>
        </w:rPr>
        <w:t>Chương V. Yêu cầu về kỹ thuật</w:t>
      </w:r>
    </w:p>
    <w:p>
      <w:pPr>
        <w:pStyle w:val="Heading2"/>
        <w:spacing w:before="200" w:after="120"/>
        <w:jc w:val="left"/>
      </w:pPr>
      <w:r>
        <w:rPr>
          <w:rFonts w:ascii="Times New Roman" w:hAnsi="Times New Roman" w:eastAsia="Times New Roman" w:cs="Times New Roman"/>
          <w:b w:val="0"/>
          <w:i w:val="0"/>
          <w:caps w:val="0"/>
          <w:color w:val="000000"/>
          <w:sz w:val="26"/>
        </w:rPr>
        <w:t>1. Giới thiệu chung về dự án và gói thầu</w:t>
      </w:r>
    </w:p>
    <w:p>
      <w:pPr>
        <w:spacing w:before="0" w:after="100" w:line="300" w:lineRule="auto"/>
        <w:jc w:val="both"/>
      </w:pPr>
      <w:r>
        <w:rPr>
          <w:rFonts w:ascii="Times New Roman" w:hAnsi="Times New Roman" w:eastAsia="Times New Roman" w:cs="Times New Roman"/>
          <w:b w:val="0"/>
          <w:i w:val="0"/>
          <w:caps w:val="0"/>
          <w:color w:val="000000"/>
          <w:sz w:val="26"/>
        </w:rPr>
        <w:t>Công ty Cổ phần ABC Wear (Chủ đầu tư) thực hiện dự án Phát triển kênh bán hàng trực tuyến của Công ty Cổ phần ABC Wear nhằm mở rộng khách hàng qua internet.</w:t>
      </w:r>
    </w:p>
    <w:p>
      <w:pPr>
        <w:spacing w:before="0" w:after="100" w:line="300" w:lineRule="auto"/>
        <w:jc w:val="both"/>
      </w:pPr>
      <w:r>
        <w:rPr>
          <w:rFonts w:ascii="Times New Roman" w:hAnsi="Times New Roman" w:eastAsia="Times New Roman" w:cs="Times New Roman"/>
          <w:b w:val="0"/>
          <w:i w:val="0"/>
          <w:caps w:val="0"/>
          <w:color w:val="000000"/>
          <w:sz w:val="26"/>
        </w:rPr>
        <w:t>Gói thầu Dịch vụ xây dựng và triển khai hệ thống website bán hàng trực tuyến (Web Selling Site System) gồm xây dựng hệ thống website bán hàng mới từ phân tích hệ thống đến kiểm thử vận hành (System Analysis to Operation Test), tích hợp với hệ thống chính hiện có (Main System) và hỗ trợ đưa hệ thống vào vận hành.</w:t>
      </w:r>
    </w:p>
    <w:p>
      <w:pPr>
        <w:spacing w:before="0" w:after="100" w:line="300" w:lineRule="auto"/>
        <w:jc w:val="both"/>
      </w:pPr>
      <w:r>
        <w:rPr>
          <w:rFonts w:ascii="Times New Roman" w:hAnsi="Times New Roman" w:eastAsia="Times New Roman" w:cs="Times New Roman"/>
          <w:b w:val="0"/>
          <w:i w:val="0"/>
          <w:caps w:val="0"/>
          <w:color w:val="000000"/>
          <w:sz w:val="26"/>
        </w:rPr>
        <w:t>Dịch vụ được thực hiện tại trụ sở chính Công ty Cổ phần ABC Wear và tại nơi làm việc của nhà thầu theo Mục 1.5 E-ĐKCT. Thời gian thực hiện từ ngày hợp đồng có hiệu lực, dự kiến ngày 18/03/2027, đến ngày đưa hệ thống vào vận hành (cut over) 01/07/2027.</w:t>
      </w:r>
    </w:p>
    <w:p>
      <w:pPr>
        <w:spacing w:before="0" w:after="100" w:line="300" w:lineRule="auto"/>
        <w:jc w:val="both"/>
      </w:pPr>
      <w:r>
        <w:rPr>
          <w:rFonts w:ascii="Times New Roman" w:hAnsi="Times New Roman" w:eastAsia="Times New Roman" w:cs="Times New Roman"/>
          <w:b w:val="0"/>
          <w:i w:val="0"/>
          <w:caps w:val="0"/>
          <w:color w:val="000000"/>
          <w:sz w:val="26"/>
        </w:rPr>
        <w:t>Các tài liệu, dữ liệu về hệ thống hiện có của Chủ đầu tư cần cho việc thực hiện gói thầu được cung cấp cho nhà thầu trúng thầu sau khi hợp đồng có hiệu lực, theo thời hạn nêu tại mục 3.5. Nhà thầu có trách nhiệm bảo mật thông tin này theo Mục 14 E-ĐKC và Chương VII.</w:t>
      </w:r>
    </w:p>
    <w:p>
      <w:pPr>
        <w:pStyle w:val="Heading2"/>
        <w:spacing w:before="200" w:after="120"/>
        <w:jc w:val="left"/>
      </w:pPr>
      <w:r>
        <w:rPr>
          <w:rFonts w:ascii="Times New Roman" w:hAnsi="Times New Roman" w:eastAsia="Times New Roman" w:cs="Times New Roman"/>
          <w:b w:val="0"/>
          <w:i w:val="0"/>
          <w:caps w:val="0"/>
          <w:color w:val="000000"/>
          <w:sz w:val="26"/>
        </w:rPr>
        <w:t>2. Mục tiêu công việc</w:t>
      </w:r>
    </w:p>
    <w:p>
      <w:pPr>
        <w:spacing w:before="0" w:after="100" w:line="300" w:lineRule="auto"/>
        <w:jc w:val="both"/>
      </w:pPr>
      <w:r>
        <w:rPr>
          <w:rFonts w:ascii="Times New Roman" w:hAnsi="Times New Roman" w:eastAsia="Times New Roman" w:cs="Times New Roman"/>
          <w:b w:val="0"/>
          <w:i w:val="0"/>
          <w:caps w:val="0"/>
          <w:color w:val="000000"/>
          <w:sz w:val="26"/>
        </w:rPr>
        <w:t>Mục tiêu của dự án (The Goal of the Project) là mở rộng khách hàng thông qua internet và tạo kênh bán hàng mới cho Chủ đầu tư.</w:t>
      </w:r>
    </w:p>
    <w:p>
      <w:pPr>
        <w:spacing w:before="0" w:after="100" w:line="300" w:lineRule="auto"/>
        <w:jc w:val="both"/>
      </w:pPr>
      <w:r>
        <w:rPr>
          <w:rFonts w:ascii="Times New Roman" w:hAnsi="Times New Roman" w:eastAsia="Times New Roman" w:cs="Times New Roman"/>
          <w:b w:val="0"/>
          <w:i w:val="0"/>
          <w:caps w:val="0"/>
          <w:color w:val="000000"/>
          <w:sz w:val="26"/>
        </w:rPr>
        <w:t>Hệ thống được phát triển theo các chính sách cơ bản (Basic Policy of Development) sau:</w:t>
      </w:r>
    </w:p>
    <w:p>
      <w:pPr>
        <w:spacing w:before="0" w:after="100" w:line="300" w:lineRule="auto"/>
        <w:jc w:val="both"/>
      </w:pPr>
      <w:r>
        <w:rPr>
          <w:rFonts w:ascii="Times New Roman" w:hAnsi="Times New Roman" w:eastAsia="Times New Roman" w:cs="Times New Roman"/>
          <w:b w:val="0"/>
          <w:i w:val="0"/>
          <w:caps w:val="0"/>
          <w:color w:val="000000"/>
          <w:sz w:val="26"/>
        </w:rPr>
        <w:t>- Khách hàng thao tác dễ dàng (Easy Operation for the Customer): giao diện và trình tự thao tác tìm kiếm sản phẩm, quản lý thông tin thành viên và đặt hàng đơn giản, dễ hiểu đối với khách hàng.</w:t>
      </w:r>
    </w:p>
    <w:p>
      <w:pPr>
        <w:spacing w:before="0" w:after="100" w:line="300" w:lineRule="auto"/>
        <w:jc w:val="both"/>
      </w:pPr>
      <w:r>
        <w:rPr>
          <w:rFonts w:ascii="Times New Roman" w:hAnsi="Times New Roman" w:eastAsia="Times New Roman" w:cs="Times New Roman"/>
          <w:b w:val="0"/>
          <w:i w:val="0"/>
          <w:caps w:val="0"/>
          <w:color w:val="000000"/>
          <w:sz w:val="26"/>
        </w:rPr>
        <w:t>- Sử dụng mọi lúc (Use anytime): hệ thống hoạt động liên tục 24 giờ mỗi ngày, 365 ngày mỗi năm (24 hours and 365 days running).</w:t>
      </w:r>
    </w:p>
    <w:p>
      <w:pPr>
        <w:spacing w:before="0" w:after="100" w:line="300" w:lineRule="auto"/>
        <w:jc w:val="both"/>
      </w:pPr>
      <w:r>
        <w:rPr>
          <w:rFonts w:ascii="Times New Roman" w:hAnsi="Times New Roman" w:eastAsia="Times New Roman" w:cs="Times New Roman"/>
          <w:b w:val="0"/>
          <w:i w:val="0"/>
          <w:caps w:val="0"/>
          <w:color w:val="000000"/>
          <w:sz w:val="26"/>
        </w:rPr>
        <w:t>- Thời gian phản hồi nhanh (Quick response time): thời gian phản hồi của hệ thống đối với mỗi thao tác của khách hàng không quá 2 giây (within 2 seconds).</w:t>
      </w:r>
    </w:p>
    <w:p>
      <w:pPr>
        <w:pStyle w:val="Heading2"/>
        <w:spacing w:before="200" w:after="120"/>
        <w:jc w:val="left"/>
      </w:pPr>
      <w:r>
        <w:rPr>
          <w:rFonts w:ascii="Times New Roman" w:hAnsi="Times New Roman" w:eastAsia="Times New Roman" w:cs="Times New Roman"/>
          <w:b w:val="0"/>
          <w:i w:val="0"/>
          <w:caps w:val="0"/>
          <w:color w:val="000000"/>
          <w:sz w:val="26"/>
        </w:rPr>
        <w:t>3. Yêu cầu kỹ thuật của gói thầu</w:t>
      </w:r>
    </w:p>
    <w:p>
      <w:pPr>
        <w:spacing w:before="0" w:after="100" w:line="300" w:lineRule="auto"/>
        <w:jc w:val="both"/>
      </w:pPr>
      <w:r>
        <w:rPr>
          <w:rFonts w:ascii="Times New Roman" w:hAnsi="Times New Roman" w:eastAsia="Times New Roman" w:cs="Times New Roman"/>
          <w:b w:val="0"/>
          <w:i w:val="0"/>
          <w:caps w:val="0"/>
          <w:color w:val="000000"/>
          <w:sz w:val="26"/>
        </w:rPr>
        <w:t>3.1. Mô hình hệ thống mới (The Image of New Systems). Hệ thống website bán hàng (Web Site Selling System) gồm các chức năng tìm kiếm sản phẩm (Product Search), quản lý thành viên (Member Administration), đặt hàng (Order) và cơ sở dữ liệu bán hàng (Selling DB). Theo sơ đồ của RFP, khách hàng (Customer) truy cập hệ thống qua internet (Internet) và dữ liệu giữa khách hàng với hệ thống đi theo hai chiều. Hệ thống chính hiện có của Chủ đầu tư (Main System), là hệ thống quản trị bán hàng, sản phẩm, logistics và giao dịch (Administration of Selling, Products, Logistics, Dealing), chuyển dữ liệu theo chiều từ Main System sang Selling DB. Main System chuyển thông tin theo chiều từ Main System sang nghiệp vụ vận chuyển (Transportation Operation), nghiệp vụ vận chuyển giao hàng tới khách hàng. Do đơn hàng được giao qua nghiệp vụ vận chuyển nhận thông tin từ Main System, việc tích hợp gồm cả chuyển dữ liệu đơn hàng từ hệ thống mới về Main System. Thay đổi phía Main System để trao đổi dữ liệu với hệ thống mới do Chủ đầu tư thực hiện, nhà thầu chịu trách nhiệm phía hệ thống mới theo mục 3.5. Nội dung dữ liệu, tần suất và phương thức của từng luồng được xác định trong đặc tả hệ thống trên cơ sở tài liệu giao diện và môi trường thử của Main System nêu tại mục 3.5.</w:t>
      </w:r>
    </w:p>
    <w:p>
      <w:pPr>
        <w:spacing w:before="0" w:after="100" w:line="300" w:lineRule="auto"/>
        <w:jc w:val="both"/>
      </w:pPr>
      <w:r>
        <w:rPr>
          <w:rFonts w:ascii="Times New Roman" w:hAnsi="Times New Roman" w:eastAsia="Times New Roman" w:cs="Times New Roman"/>
          <w:b w:val="0"/>
          <w:i w:val="0"/>
          <w:caps w:val="0"/>
          <w:color w:val="000000"/>
          <w:sz w:val="26"/>
        </w:rPr>
        <w:t>3.2. Phạm vi gói thầu (Project Scope). Nhà thầu xây dựng hệ thống Web Selling Site System từ phân tích hệ thống đến kiểm thử vận hành (System Analysis to Operation Test), gồm phân tích hệ thống và lập đặc tả, thiết kế, xây dựng các chức năng và cơ sở dữ liệu nêu tại mục 3.1, tích hợp với Main System, kiểm thử hệ thống, kiểm thử vận hành, chuyển giao, hướng dẫn vận hành và hỗ trợ đưa hệ thống vào vận hành ngày 01/07/2027. Chuyển giao, hướng dẫn vận hành, hỗ trợ đưa hệ thống vào vận hành và bàn giao mã nguồn thuộc phạm vi gói thầu, căn cứ yêu cầu đưa hệ thống vào vận hành (cut over) ngày 01/07/2027 và điều khoản của RFP về quyền sở hữu, bản quyền đối với sản phẩm và kết quả kỹ thuật của dự án thuộc Chủ đầu tư. Chức năng quản trị nội bộ (The internal administrative function) nằm ngoài phạm vi gói thầu. Hạ tầng vận hành, môi trường phát triển và kiểm thử, môi trường thử của Main System, thay đổi phía Main System và thông tin về hệ thống hiện có được phân định tại mục 3.5.</w:t>
      </w:r>
    </w:p>
    <w:p>
      <w:pPr>
        <w:spacing w:before="0" w:after="100" w:line="300" w:lineRule="auto"/>
        <w:jc w:val="both"/>
      </w:pPr>
      <w:r>
        <w:rPr>
          <w:rFonts w:ascii="Times New Roman" w:hAnsi="Times New Roman" w:eastAsia="Times New Roman" w:cs="Times New Roman"/>
          <w:b w:val="0"/>
          <w:i w:val="0"/>
          <w:caps w:val="0"/>
          <w:color w:val="000000"/>
          <w:sz w:val="26"/>
        </w:rPr>
        <w:t>3.3. Sản phẩm đầu ra (Deliverables). Nhà thầu lập và bàn giao các sản phẩm: (1) đặc tả hệ thống (Specification) của Web Selling Site System, gồm cấu hình cơ sở dữ liệu (DB Configuration) và chức năng (Function), (2) quy trình vận hành mới (New Operational Flow), (3) cấu trúc cơ sở dữ liệu (Database Structure) của Selling DB, (4) sơ đồ phân cấp menu (Menu Layer) kèm thiết kế giao diện các màn hình chính của chức năng tìm kiếm sản phẩm, quản lý thành viên và đặt hàng (giao diện ưu tiên), (5) hệ thống Web Selling Site System đã hoàn thành kiểm thử vận hành và được đưa vào vận hành, (6) tài liệu chuyển giao gồm tài liệu hướng dẫn sử dụng, tài liệu hướng dẫn vận hành theo quy trình vận hành mới, kết quả kiểm thử hệ thống và kiểm thử vận hành, mã nguồn và tài liệu cài đặt của hệ thống. Nội dung chi tiết của các sản phẩm từ (1) đến (4) do nhà thầu lập trên cơ sở phân tích yêu cầu và được Chủ đầu tư xác nhận.</w:t>
      </w:r>
    </w:p>
    <w:p>
      <w:pPr>
        <w:spacing w:before="0" w:after="100" w:line="300" w:lineRule="auto"/>
        <w:jc w:val="both"/>
      </w:pPr>
      <w:r>
        <w:rPr>
          <w:rFonts w:ascii="Times New Roman" w:hAnsi="Times New Roman" w:eastAsia="Times New Roman" w:cs="Times New Roman"/>
          <w:b w:val="0"/>
          <w:i w:val="0"/>
          <w:caps w:val="0"/>
          <w:color w:val="000000"/>
          <w:sz w:val="26"/>
        </w:rPr>
        <w:t>3.4. Yêu cầu phi chức năng. Hệ thống phải hoạt động liên tục 24 giờ mỗi ngày, 365 ngày mỗi năm (24 hours and 365 days running), có thời gian phản hồi không quá 2 giây (within 2 seconds) đối với mỗi thao tác của khách hàng và có giao diện giúp khách hàng thao tác dễ dàng (Easy Operation for the Customer). Điều kiện đo các yêu cầu này theo mục 3.5. Kiểm thử vận hành và đo các yêu cầu này thực hiện trên hạ tầng vận hành chính thức theo mục 3.5. Nhà thầu nêu giải pháp kỹ thuật và phương pháp kiểm thử để chứng minh hệ thống đáp ứng các yêu cầu này. Nhà thầu có thể áp dụng tiêu chuẩn khác nếu chứng minh được tiêu chuẩn đó tương đương hoặc cao hơn yêu cầu nêu trên.</w:t>
      </w:r>
    </w:p>
    <w:p>
      <w:pPr>
        <w:spacing w:before="0" w:after="100" w:line="300" w:lineRule="auto"/>
        <w:jc w:val="both"/>
      </w:pPr>
      <w:r>
        <w:rPr>
          <w:rFonts w:ascii="Times New Roman" w:hAnsi="Times New Roman" w:eastAsia="Times New Roman" w:cs="Times New Roman"/>
          <w:b w:val="0"/>
          <w:i w:val="0"/>
          <w:caps w:val="0"/>
          <w:color w:val="000000"/>
          <w:sz w:val="26"/>
        </w:rPr>
        <w:t>3.5. Phân định trách nhiệm và giả định. Giá dự thầu trọn gói được lập trên cơ sở phân định dưới đây. Trường hợp Chủ đầu tư cung cấp chậm so với thời hạn nêu tại bảng, các mốc liên quan được lùi tương ứng số ngày chậm theo Mục 18 (e) E-ĐKCT.</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3800"/>
        <w:gridCol w:w="52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3800"/>
          </w:tcPr>
          <w:p>
            <w:pPr>
              <w:spacing w:before="0" w:after="60"/>
              <w:jc w:val="left"/>
            </w:pPr>
            <w:r>
              <w:rPr>
                <w:rFonts w:ascii="Times New Roman" w:hAnsi="Times New Roman" w:eastAsia="Times New Roman" w:cs="Times New Roman"/>
                <w:b w:val="0"/>
                <w:i w:val="0"/>
                <w:caps w:val="0"/>
                <w:color w:val="000000"/>
                <w:sz w:val="26"/>
              </w:rPr>
              <w:t>Nội dung</w:t>
            </w:r>
          </w:p>
        </w:tc>
        <w:tc>
          <w:tcPr>
            <w:tcW w:type="dxa" w:w="5200"/>
          </w:tcPr>
          <w:p>
            <w:pPr>
              <w:spacing w:before="0" w:after="60"/>
              <w:jc w:val="left"/>
            </w:pPr>
            <w:r>
              <w:rPr>
                <w:rFonts w:ascii="Times New Roman" w:hAnsi="Times New Roman" w:eastAsia="Times New Roman" w:cs="Times New Roman"/>
                <w:b w:val="0"/>
                <w:i w:val="0"/>
                <w:caps w:val="0"/>
                <w:color w:val="000000"/>
                <w:sz w:val="26"/>
              </w:rPr>
              <w:t>Phân định</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Máy chủ vận hành hệ thống</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cung cấp chậm nhất ngày 10/06/2027</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3800"/>
          </w:tcPr>
          <w:p>
            <w:pPr>
              <w:spacing w:before="0" w:after="60"/>
              <w:jc w:val="left"/>
            </w:pPr>
            <w:r>
              <w:rPr>
                <w:rFonts w:ascii="Times New Roman" w:hAnsi="Times New Roman" w:eastAsia="Times New Roman" w:cs="Times New Roman"/>
                <w:b w:val="0"/>
                <w:i w:val="0"/>
                <w:caps w:val="0"/>
                <w:color w:val="000000"/>
                <w:sz w:val="26"/>
              </w:rPr>
              <w:t>Đường truyền kết nối internet và kết nối tới hệ thống hiện có</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cung cấp chậm nhất ngày 10/06/2027</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3800"/>
          </w:tcPr>
          <w:p>
            <w:pPr>
              <w:spacing w:before="0" w:after="60"/>
              <w:jc w:val="left"/>
            </w:pPr>
            <w:r>
              <w:rPr>
                <w:rFonts w:ascii="Times New Roman" w:hAnsi="Times New Roman" w:eastAsia="Times New Roman" w:cs="Times New Roman"/>
                <w:b w:val="0"/>
                <w:i w:val="0"/>
                <w:caps w:val="0"/>
                <w:color w:val="000000"/>
                <w:sz w:val="26"/>
              </w:rPr>
              <w:t>Phần mềm nền (hệ điều hành, hệ quản trị cơ sở dữ liệu, máy chủ ứng dụng) và bản quyền</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cung cấp chậm nhất ngày 10/06/2027</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3800"/>
          </w:tcPr>
          <w:p>
            <w:pPr>
              <w:spacing w:before="0" w:after="60"/>
              <w:jc w:val="left"/>
            </w:pPr>
            <w:r>
              <w:rPr>
                <w:rFonts w:ascii="Times New Roman" w:hAnsi="Times New Roman" w:eastAsia="Times New Roman" w:cs="Times New Roman"/>
                <w:b w:val="0"/>
                <w:i w:val="0"/>
                <w:caps w:val="0"/>
                <w:color w:val="000000"/>
                <w:sz w:val="26"/>
              </w:rPr>
              <w:t>Môi trường phát triển và kiểm thử hệ thống</w:t>
            </w:r>
          </w:p>
        </w:tc>
        <w:tc>
          <w:tcPr>
            <w:tcW w:type="dxa" w:w="5200"/>
          </w:tcPr>
          <w:p>
            <w:pPr>
              <w:spacing w:before="0" w:after="60"/>
              <w:jc w:val="left"/>
            </w:pPr>
            <w:r>
              <w:rPr>
                <w:rFonts w:ascii="Times New Roman" w:hAnsi="Times New Roman" w:eastAsia="Times New Roman" w:cs="Times New Roman"/>
                <w:b w:val="0"/>
                <w:i w:val="0"/>
                <w:caps w:val="0"/>
                <w:color w:val="000000"/>
                <w:sz w:val="26"/>
              </w:rPr>
              <w:t>Nhà thầu cung cấp, chi phí tính trong giá dự thầu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3800"/>
          </w:tcPr>
          <w:p>
            <w:pPr>
              <w:spacing w:before="0" w:after="60"/>
              <w:jc w:val="left"/>
            </w:pPr>
            <w:r>
              <w:rPr>
                <w:rFonts w:ascii="Times New Roman" w:hAnsi="Times New Roman" w:eastAsia="Times New Roman" w:cs="Times New Roman"/>
                <w:b w:val="0"/>
                <w:i w:val="0"/>
                <w:caps w:val="0"/>
                <w:color w:val="000000"/>
                <w:sz w:val="26"/>
              </w:rPr>
              <w:t>Thông tin, giao diện trao đổi dữ liệu của hệ thống hiện có (Main System)</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cung cấp tài liệu đặc tả giao diện trao đổi dữ liệu sản phẩm, bán hàng, giao dịch của Main System chậm nhất ngày 14/04/2027, tức 27 ngày kể từ ngày hợp đồng có hiệu lực.</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3800"/>
          </w:tcPr>
          <w:p>
            <w:pPr>
              <w:spacing w:before="0" w:after="60"/>
              <w:jc w:val="left"/>
            </w:pPr>
            <w:r>
              <w:rPr>
                <w:rFonts w:ascii="Times New Roman" w:hAnsi="Times New Roman" w:eastAsia="Times New Roman" w:cs="Times New Roman"/>
                <w:b w:val="0"/>
                <w:i w:val="0"/>
                <w:caps w:val="0"/>
                <w:color w:val="000000"/>
                <w:sz w:val="26"/>
              </w:rPr>
              <w:t>Môi trường thử của hệ thống hiện có (Main System)</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cung cấp chậm nhất ngày 20/05/2027</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7</w:t>
            </w:r>
          </w:p>
        </w:tc>
        <w:tc>
          <w:tcPr>
            <w:tcW w:type="dxa" w:w="3800"/>
          </w:tcPr>
          <w:p>
            <w:pPr>
              <w:spacing w:before="0" w:after="60"/>
              <w:jc w:val="left"/>
            </w:pPr>
            <w:r>
              <w:rPr>
                <w:rFonts w:ascii="Times New Roman" w:hAnsi="Times New Roman" w:eastAsia="Times New Roman" w:cs="Times New Roman"/>
                <w:b w:val="0"/>
                <w:i w:val="0"/>
                <w:caps w:val="0"/>
                <w:color w:val="000000"/>
                <w:sz w:val="26"/>
              </w:rPr>
              <w:t>Thay đổi phía hệ thống hiện có (Main System) để trao đổi dữ liệu với hệ thống mới</w:t>
            </w:r>
          </w:p>
        </w:tc>
        <w:tc>
          <w:tcPr>
            <w:tcW w:type="dxa" w:w="5200"/>
          </w:tcPr>
          <w:p>
            <w:pPr>
              <w:spacing w:before="0" w:after="60"/>
              <w:jc w:val="left"/>
            </w:pPr>
            <w:r>
              <w:rPr>
                <w:rFonts w:ascii="Times New Roman" w:hAnsi="Times New Roman" w:eastAsia="Times New Roman" w:cs="Times New Roman"/>
                <w:b w:val="0"/>
                <w:i w:val="0"/>
                <w:caps w:val="0"/>
                <w:color w:val="000000"/>
                <w:sz w:val="26"/>
              </w:rPr>
              <w:t>Chủ đầu tư thực hiện, nhà thầu chịu trách nhiệm phía hệ thống mới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8</w:t>
            </w:r>
          </w:p>
        </w:tc>
        <w:tc>
          <w:tcPr>
            <w:tcW w:type="dxa" w:w="3800"/>
          </w:tcPr>
          <w:p>
            <w:pPr>
              <w:spacing w:before="0" w:after="60"/>
              <w:jc w:val="left"/>
            </w:pPr>
            <w:r>
              <w:rPr>
                <w:rFonts w:ascii="Times New Roman" w:hAnsi="Times New Roman" w:eastAsia="Times New Roman" w:cs="Times New Roman"/>
                <w:b w:val="0"/>
                <w:i w:val="0"/>
                <w:caps w:val="0"/>
                <w:color w:val="000000"/>
                <w:sz w:val="26"/>
              </w:rPr>
              <w:t>Môi trường kiểm thử vận hành và đo các yêu cầu phi chức năng</w:t>
            </w:r>
          </w:p>
        </w:tc>
        <w:tc>
          <w:tcPr>
            <w:tcW w:type="dxa" w:w="5200"/>
          </w:tcPr>
          <w:p>
            <w:pPr>
              <w:spacing w:before="0" w:after="60"/>
              <w:jc w:val="left"/>
            </w:pPr>
            <w:r>
              <w:rPr>
                <w:rFonts w:ascii="Times New Roman" w:hAnsi="Times New Roman" w:eastAsia="Times New Roman" w:cs="Times New Roman"/>
                <w:b w:val="0"/>
                <w:i w:val="0"/>
                <w:caps w:val="0"/>
                <w:color w:val="000000"/>
                <w:sz w:val="26"/>
              </w:rPr>
              <w:t>Thực hiện trên hạ tầng vận hành chính thức</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9</w:t>
            </w:r>
          </w:p>
        </w:tc>
        <w:tc>
          <w:tcPr>
            <w:tcW w:type="dxa" w:w="3800"/>
          </w:tcPr>
          <w:p>
            <w:pPr>
              <w:spacing w:before="0" w:after="60"/>
              <w:jc w:val="left"/>
            </w:pPr>
            <w:r>
              <w:rPr>
                <w:rFonts w:ascii="Times New Roman" w:hAnsi="Times New Roman" w:eastAsia="Times New Roman" w:cs="Times New Roman"/>
                <w:b w:val="0"/>
                <w:i w:val="0"/>
                <w:caps w:val="0"/>
                <w:color w:val="000000"/>
                <w:sz w:val="26"/>
              </w:rPr>
              <w:t>Điều kiện đo các yêu cầu phi chức năng tại mục 3.4</w:t>
            </w:r>
          </w:p>
        </w:tc>
        <w:tc>
          <w:tcPr>
            <w:tcW w:type="dxa" w:w="5200"/>
          </w:tcPr>
          <w:p>
            <w:pPr>
              <w:spacing w:before="0" w:after="60"/>
              <w:jc w:val="left"/>
            </w:pPr>
            <w:r>
              <w:rPr>
                <w:rFonts w:ascii="Times New Roman" w:hAnsi="Times New Roman" w:eastAsia="Times New Roman" w:cs="Times New Roman"/>
                <w:b w:val="0"/>
                <w:i w:val="0"/>
                <w:caps w:val="0"/>
                <w:color w:val="000000"/>
                <w:sz w:val="26"/>
              </w:rPr>
              <w:t>Nhà thầu đề xuất điều kiện đo trong E-HSDT (tải, số người dùng đồng thời, cách tính thời gian hoạt động liên tục, điểm đo). Hai bên xác nhận điều kiện đo trong đặc tả yêu cầu trước khi thanh toán Đợt 2 theo Mục 13.1 E-ĐKCT.</w:t>
            </w:r>
          </w:p>
        </w:tc>
      </w:tr>
    </w:tbl>
    <w:p>
      <w:pPr>
        <w:pStyle w:val="Heading2"/>
        <w:spacing w:before="200" w:after="120"/>
        <w:jc w:val="left"/>
      </w:pPr>
      <w:r>
        <w:rPr>
          <w:rFonts w:ascii="Times New Roman" w:hAnsi="Times New Roman" w:eastAsia="Times New Roman" w:cs="Times New Roman"/>
          <w:b w:val="0"/>
          <w:i w:val="0"/>
          <w:caps w:val="0"/>
          <w:color w:val="000000"/>
          <w:sz w:val="26"/>
        </w:rPr>
        <w:t>4. Giải pháp và phương pháp luận</w:t>
      </w:r>
    </w:p>
    <w:p>
      <w:pPr>
        <w:spacing w:before="0" w:after="100" w:line="300" w:lineRule="auto"/>
        <w:jc w:val="both"/>
      </w:pPr>
      <w:r>
        <w:rPr>
          <w:rFonts w:ascii="Times New Roman" w:hAnsi="Times New Roman" w:eastAsia="Times New Roman" w:cs="Times New Roman"/>
          <w:b w:val="0"/>
          <w:i w:val="0"/>
          <w:caps w:val="0"/>
          <w:color w:val="000000"/>
          <w:sz w:val="26"/>
        </w:rPr>
        <w:t>Nhà thầu chuẩn bị đề xuất gồm giải pháp và phương pháp luận, kế hoạch công tác để thực hiện các yêu cầu tại Chương này.</w:t>
      </w:r>
    </w:p>
    <w:p>
      <w:pPr>
        <w:spacing w:before="0" w:after="100" w:line="300" w:lineRule="auto"/>
        <w:jc w:val="both"/>
      </w:pPr>
      <w:r>
        <w:rPr>
          <w:rFonts w:ascii="Times New Roman" w:hAnsi="Times New Roman" w:eastAsia="Times New Roman" w:cs="Times New Roman"/>
          <w:b w:val="0"/>
          <w:i w:val="0"/>
          <w:caps w:val="0"/>
          <w:color w:val="000000"/>
          <w:sz w:val="26"/>
        </w:rPr>
        <w:t>Đề xuất trình bày đủ các nội dung: điều kiện tiền đề (Precondition), phạm vi công việc gắn với tiêu chuẩn của Chủ đầu tư (Project Scope), sản phẩm bàn giao trong hợp đồng (Deliverables), tiến độ đến ngày đưa hệ thống vào vận hành (Schedule), tổ chức thực hiện dự án (Organization), kế hoạch họp (Meeting), vai trò và trách nhiệm (Roles), điều kiện khác liên quan đến hợp đồng (Other Conditions), đề nghị đối với Chủ đầu tư (Request for us), cùng các nội dung khác cần thiết cho thành công của dự án.</w:t>
      </w:r>
    </w:p>
    <w:p>
      <w:pPr>
        <w:spacing w:before="0" w:after="100" w:line="300" w:lineRule="auto"/>
        <w:jc w:val="both"/>
      </w:pPr>
      <w:r>
        <w:rPr>
          <w:rFonts w:ascii="Times New Roman" w:hAnsi="Times New Roman" w:eastAsia="Times New Roman" w:cs="Times New Roman"/>
          <w:b w:val="0"/>
          <w:i w:val="0"/>
          <w:caps w:val="0"/>
          <w:color w:val="000000"/>
          <w:sz w:val="26"/>
        </w:rPr>
        <w:t>Đề xuất nêu điều kiện đo các yêu cầu phi chức năng tại mục 3.4 theo mục 3.5.</w:t>
      </w:r>
    </w:p>
    <w:p>
      <w:pPr>
        <w:spacing w:before="0" w:after="100" w:line="300" w:lineRule="auto"/>
        <w:jc w:val="both"/>
      </w:pPr>
      <w:r>
        <w:rPr>
          <w:rFonts w:ascii="Times New Roman" w:hAnsi="Times New Roman" w:eastAsia="Times New Roman" w:cs="Times New Roman"/>
          <w:b w:val="0"/>
          <w:i w:val="0"/>
          <w:caps w:val="0"/>
          <w:color w:val="000000"/>
          <w:sz w:val="26"/>
        </w:rPr>
        <w:t>Điều kiện khác liên quan đến hợp đồng và đề nghị đối với Chủ đầu tư không được tính điểm kỹ thuật, được xem xét theo Mục 24 và Mục 25 E-CDNT.</w:t>
      </w:r>
    </w:p>
    <w:p>
      <w:pPr>
        <w:spacing w:before="0" w:after="100" w:line="300" w:lineRule="auto"/>
        <w:jc w:val="both"/>
      </w:pPr>
      <w:r>
        <w:rPr>
          <w:rFonts w:ascii="Times New Roman" w:hAnsi="Times New Roman" w:eastAsia="Times New Roman" w:cs="Times New Roman"/>
          <w:b w:val="0"/>
          <w:i w:val="0"/>
          <w:caps w:val="0"/>
          <w:color w:val="000000"/>
          <w:sz w:val="26"/>
        </w:rPr>
        <w:t>Chi phí ước tính (Estimated Cost) kèm lý do được trình bày trong đề xuất tài chính theo Mẫu số 11A và không thuộc nội dung chấm điểm kỹ thuật.</w:t>
      </w:r>
    </w:p>
    <w:p>
      <w:pPr>
        <w:spacing w:before="0" w:after="100" w:line="300" w:lineRule="auto"/>
        <w:jc w:val="both"/>
      </w:pPr>
      <w:r>
        <w:rPr>
          <w:rFonts w:ascii="Times New Roman" w:hAnsi="Times New Roman" w:eastAsia="Times New Roman" w:cs="Times New Roman"/>
          <w:b w:val="0"/>
          <w:i w:val="0"/>
          <w:caps w:val="0"/>
          <w:color w:val="000000"/>
          <w:sz w:val="26"/>
        </w:rPr>
        <w:t>Toàn bộ đề xuất được nộp trong E-HSDT qua Hệ thống trước thời điểm đóng thầu.</w:t>
      </w:r>
    </w:p>
    <w:p>
      <w:pPr>
        <w:pStyle w:val="Heading2"/>
        <w:spacing w:before="200" w:after="120"/>
        <w:jc w:val="left"/>
      </w:pPr>
      <w:r>
        <w:rPr>
          <w:rFonts w:ascii="Times New Roman" w:hAnsi="Times New Roman" w:eastAsia="Times New Roman" w:cs="Times New Roman"/>
          <w:b w:val="0"/>
          <w:i w:val="0"/>
          <w:caps w:val="0"/>
          <w:color w:val="000000"/>
          <w:sz w:val="26"/>
        </w:rPr>
        <w:t>5. Quy định về kiểm tra, nghiệm thu sản phẩm</w:t>
      </w:r>
    </w:p>
    <w:p>
      <w:pPr>
        <w:spacing w:before="0" w:after="100" w:line="300" w:lineRule="auto"/>
        <w:jc w:val="both"/>
      </w:pPr>
      <w:r>
        <w:rPr>
          <w:rFonts w:ascii="Times New Roman" w:hAnsi="Times New Roman" w:eastAsia="Times New Roman" w:cs="Times New Roman"/>
          <w:b w:val="0"/>
          <w:i w:val="0"/>
          <w:caps w:val="0"/>
          <w:color w:val="000000"/>
          <w:sz w:val="26"/>
        </w:rPr>
        <w:t>Nhà thầu bàn giao từng sản phẩm nêu tại mục 3.3 và Mẫu số 01A tại địa điểm và thời hạn đã thống nhất, kèm tài liệu liên quan.</w:t>
      </w:r>
    </w:p>
    <w:p>
      <w:pPr>
        <w:spacing w:before="0" w:after="100" w:line="300" w:lineRule="auto"/>
        <w:jc w:val="both"/>
      </w:pPr>
      <w:r>
        <w:rPr>
          <w:rFonts w:ascii="Times New Roman" w:hAnsi="Times New Roman" w:eastAsia="Times New Roman" w:cs="Times New Roman"/>
          <w:b w:val="0"/>
          <w:i w:val="0"/>
          <w:caps w:val="0"/>
          <w:color w:val="000000"/>
          <w:sz w:val="26"/>
        </w:rPr>
        <w:t>Chủ đầu tư kiểm tra sản phẩm theo các điều kiện nêu trong đặc tả đã được hai bên xác nhận và thông báo kết quả kiểm tra cho nhà thầu bằng văn bản.</w:t>
      </w:r>
    </w:p>
    <w:p>
      <w:pPr>
        <w:spacing w:before="0" w:after="100" w:line="300" w:lineRule="auto"/>
        <w:jc w:val="both"/>
      </w:pPr>
      <w:r>
        <w:rPr>
          <w:rFonts w:ascii="Times New Roman" w:hAnsi="Times New Roman" w:eastAsia="Times New Roman" w:cs="Times New Roman"/>
          <w:b w:val="0"/>
          <w:i w:val="0"/>
          <w:caps w:val="0"/>
          <w:color w:val="000000"/>
          <w:sz w:val="26"/>
        </w:rPr>
        <w:t>Sản phẩm đạt kết quả kiểm tra được coi là Chủ đầu tư chấp nhận sản phẩm. Sản phẩm chưa đạt được nhà thầu sửa chữa, bổ sung và bàn giao lại để kiểm tra theo trình tự nêu trên.</w:t>
      </w:r>
    </w:p>
    <w:p>
      <w:pPr>
        <w:spacing w:before="0" w:after="100" w:line="300" w:lineRule="auto"/>
        <w:jc w:val="both"/>
      </w:pPr>
      <w:r>
        <w:rPr>
          <w:rFonts w:ascii="Times New Roman" w:hAnsi="Times New Roman" w:eastAsia="Times New Roman" w:cs="Times New Roman"/>
          <w:b w:val="0"/>
          <w:i w:val="0"/>
          <w:caps w:val="0"/>
          <w:color w:val="000000"/>
          <w:sz w:val="26"/>
        </w:rPr>
        <w:t>Hệ thống được nghiệm thu sau khi hoàn thành kiểm thử vận hành và đáp ứng các yêu cầu tại mục 3.4. Biên bản nghiệm thu sản phẩm là căn cứ thanh toán theo Mục 13.1 E-ĐKCT.</w:t>
      </w:r>
    </w:p>
    <w:p>
      <w:r>
        <w:br w:type="page"/>
      </w:r>
    </w:p>
    <w:p>
      <w:pPr>
        <w:spacing w:before="0" w:after="120"/>
        <w:jc w:val="center"/>
      </w:pPr>
      <w:r>
        <w:rPr>
          <w:rFonts w:ascii="Times New Roman" w:hAnsi="Times New Roman" w:eastAsia="Times New Roman" w:cs="Times New Roman"/>
          <w:b w:val="0"/>
          <w:i w:val="0"/>
          <w:caps w:val="0"/>
          <w:color w:val="000000"/>
          <w:sz w:val="32"/>
        </w:rPr>
        <w:t>Phần 3A. Điều kiện hợp đồng</w:t>
      </w:r>
    </w:p>
    <w:p>
      <w:pPr>
        <w:pStyle w:val="Heading1"/>
        <w:spacing w:before="240" w:after="160"/>
        <w:jc w:val="center"/>
      </w:pPr>
      <w:r>
        <w:rPr>
          <w:rFonts w:ascii="Times New Roman" w:hAnsi="Times New Roman" w:eastAsia="Times New Roman" w:cs="Times New Roman"/>
          <w:b w:val="0"/>
          <w:i w:val="0"/>
          <w:caps w:val="0"/>
          <w:color w:val="000000"/>
          <w:sz w:val="30"/>
        </w:rPr>
        <w:t>Chương VI. Điều kiện chung của hợp đồng</w:t>
      </w:r>
    </w:p>
    <w:p>
      <w:pPr>
        <w:spacing w:before="0" w:after="100" w:line="300" w:lineRule="auto"/>
        <w:jc w:val="both"/>
      </w:pPr>
      <w:r>
        <w:rPr>
          <w:rFonts w:ascii="Times New Roman" w:hAnsi="Times New Roman" w:eastAsia="Times New Roman" w:cs="Times New Roman"/>
          <w:b w:val="0"/>
          <w:i w:val="0"/>
          <w:caps w:val="0"/>
          <w:color w:val="000000"/>
          <w:sz w:val="26"/>
        </w:rPr>
        <w:t>Chương này được sử dụng nguyên văn theo Mẫu số 5A ban hành kèm theo Thông tư số 79/2025/TT-BTC, không sửa đổi, và được cố định dạng tệp tin PDF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300"/>
        <w:gridCol w:w="7300"/>
      </w:tblGrid>
      <w:tr>
        <w:tc>
          <w:tcPr>
            <w:tcW w:type="dxa" w:w="2300"/>
          </w:tcPr>
          <w:p>
            <w:pPr>
              <w:spacing w:before="0" w:after="60"/>
              <w:jc w:val="left"/>
            </w:pPr>
            <w:r>
              <w:rPr>
                <w:rFonts w:ascii="Times New Roman" w:hAnsi="Times New Roman" w:eastAsia="Times New Roman" w:cs="Times New Roman"/>
                <w:b w:val="0"/>
                <w:i w:val="0"/>
                <w:caps w:val="0"/>
                <w:color w:val="000000"/>
                <w:sz w:val="26"/>
              </w:rPr>
              <w:t>1. Định nghĩa</w:t>
            </w:r>
          </w:p>
        </w:tc>
        <w:tc>
          <w:tcPr>
            <w:tcW w:type="dxa" w:w="7300"/>
          </w:tcPr>
          <w:p>
            <w:pPr>
              <w:spacing w:before="0" w:after="60"/>
              <w:jc w:val="left"/>
            </w:pPr>
            <w:r>
              <w:rPr>
                <w:rFonts w:ascii="Times New Roman" w:hAnsi="Times New Roman" w:eastAsia="Times New Roman" w:cs="Times New Roman"/>
                <w:b w:val="0"/>
                <w:i w:val="0"/>
                <w:caps w:val="0"/>
                <w:color w:val="000000"/>
                <w:sz w:val="26"/>
              </w:rPr>
              <w:t>Trong hợp đồng này, các từ ngữ dưới đây được hiểu như sau:</w:t>
            </w:r>
          </w:p>
          <w:p>
            <w:pPr>
              <w:spacing w:before="0" w:after="60"/>
              <w:jc w:val="left"/>
            </w:pPr>
            <w:r>
              <w:rPr>
                <w:rFonts w:ascii="Times New Roman" w:hAnsi="Times New Roman" w:eastAsia="Times New Roman" w:cs="Times New Roman"/>
                <w:b w:val="0"/>
                <w:i w:val="0"/>
                <w:caps w:val="0"/>
                <w:color w:val="000000"/>
                <w:sz w:val="26"/>
              </w:rPr>
              <w:t>“Bất khả kháng” là những sự kiện hoặc tình huống nằm ngoài tầm kiểm soát của các bên và không thể lường trước, không thể tránh được mà nguyên nhân không phải do sơ suất hoặc thiếu chú ý của các bên. Sự kiện bất khả kháng có thể bao gồm nhưng không giới hạn bởi chiến tranh, bạo loạn, đình công, hỏa hoạn, lũ lụt, dịch bệnh, cách ly do kiểm dịch và cấm vận hàng hóa;</w:t>
            </w:r>
          </w:p>
          <w:p>
            <w:pPr>
              <w:spacing w:before="0" w:after="60"/>
              <w:jc w:val="left"/>
            </w:pPr>
            <w:r>
              <w:rPr>
                <w:rFonts w:ascii="Times New Roman" w:hAnsi="Times New Roman" w:eastAsia="Times New Roman" w:cs="Times New Roman"/>
                <w:b w:val="0"/>
                <w:i w:val="0"/>
                <w:caps w:val="0"/>
                <w:color w:val="000000"/>
                <w:sz w:val="26"/>
              </w:rPr>
              <w:t>1.2. “Bên” là Chủ đầu tư hoặc Nhà thầu, tùy từng trường hợp.</w:t>
            </w:r>
          </w:p>
          <w:p>
            <w:pPr>
              <w:spacing w:before="0" w:after="60"/>
              <w:jc w:val="left"/>
            </w:pPr>
            <w:r>
              <w:rPr>
                <w:rFonts w:ascii="Times New Roman" w:hAnsi="Times New Roman" w:eastAsia="Times New Roman" w:cs="Times New Roman"/>
                <w:b w:val="0"/>
                <w:i w:val="0"/>
                <w:caps w:val="0"/>
                <w:color w:val="000000"/>
                <w:sz w:val="26"/>
              </w:rPr>
              <w:t>1.3. “Chủ đầu tư” là tổ chức được quy định tại E-ĐKCT;</w:t>
            </w:r>
          </w:p>
          <w:p>
            <w:pPr>
              <w:spacing w:before="0" w:after="60"/>
              <w:jc w:val="left"/>
            </w:pPr>
            <w:r>
              <w:rPr>
                <w:rFonts w:ascii="Times New Roman" w:hAnsi="Times New Roman" w:eastAsia="Times New Roman" w:cs="Times New Roman"/>
                <w:b w:val="0"/>
                <w:i w:val="0"/>
                <w:caps w:val="0"/>
                <w:color w:val="000000"/>
                <w:sz w:val="26"/>
              </w:rPr>
              <w:t>1.4. “Dịch vụ phi tư vấn”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4 của Luật Đấu thầu;</w:t>
            </w:r>
          </w:p>
          <w:p>
            <w:pPr>
              <w:spacing w:before="0" w:after="60"/>
              <w:jc w:val="left"/>
            </w:pPr>
            <w:r>
              <w:rPr>
                <w:rFonts w:ascii="Times New Roman" w:hAnsi="Times New Roman" w:eastAsia="Times New Roman" w:cs="Times New Roman"/>
                <w:b w:val="0"/>
                <w:i w:val="0"/>
                <w:caps w:val="0"/>
                <w:color w:val="000000"/>
                <w:sz w:val="26"/>
              </w:rPr>
              <w:t>1.5. “Địa điểm cung cấp dịch vụ” là địa điểm được quy định tại E-ĐKCT;</w:t>
            </w:r>
          </w:p>
          <w:p>
            <w:pPr>
              <w:spacing w:before="0" w:after="60"/>
              <w:jc w:val="left"/>
            </w:pPr>
            <w:r>
              <w:rPr>
                <w:rFonts w:ascii="Times New Roman" w:hAnsi="Times New Roman" w:eastAsia="Times New Roman" w:cs="Times New Roman"/>
                <w:b w:val="0"/>
                <w:i w:val="0"/>
                <w:caps w:val="0"/>
                <w:color w:val="000000"/>
                <w:sz w:val="26"/>
              </w:rPr>
              <w:t>1.6. “Giá hợp đồng” là giá trị ghi trong hợp đồng giữa Chủ đầu tư và nhà thầu, là tổng số tiền ghi trong hợp đồng cho việc cung cấp dịch vụ. Giá hợp đồng đã bao gồm tất cả các chi phí về thuế, phí, lệ phí (nếu có);</w:t>
            </w:r>
          </w:p>
          <w:p>
            <w:pPr>
              <w:spacing w:before="0" w:after="60"/>
              <w:jc w:val="left"/>
            </w:pPr>
            <w:r>
              <w:rPr>
                <w:rFonts w:ascii="Times New Roman" w:hAnsi="Times New Roman" w:eastAsia="Times New Roman" w:cs="Times New Roman"/>
                <w:b w:val="0"/>
                <w:i w:val="0"/>
                <w:caps w:val="0"/>
                <w:color w:val="000000"/>
                <w:sz w:val="26"/>
              </w:rPr>
              <w:t>1.7. “Hoàn thành” là việc Nhà thầu hoàn tất các nội dung công việc theo các điều khoản và điều kiện quy định tại Hợp đồng;</w:t>
            </w:r>
          </w:p>
          <w:p>
            <w:pPr>
              <w:spacing w:before="0" w:after="60"/>
              <w:jc w:val="left"/>
            </w:pPr>
            <w:r>
              <w:rPr>
                <w:rFonts w:ascii="Times New Roman" w:hAnsi="Times New Roman" w:eastAsia="Times New Roman" w:cs="Times New Roman"/>
                <w:b w:val="0"/>
                <w:i w:val="0"/>
                <w:caps w:val="0"/>
                <w:color w:val="000000"/>
                <w:sz w:val="26"/>
              </w:rPr>
              <w:t>1.8. “Hợp đồng” là thỏa thuận giữa Chủ đầu tư và Nhà thầu, thể hiện bằng văn bản, được hai bên ký kết, bao gồm cả phụ lục và tài liệu kèm theo;</w:t>
            </w:r>
          </w:p>
          <w:p>
            <w:pPr>
              <w:spacing w:before="0" w:after="60"/>
              <w:jc w:val="left"/>
            </w:pPr>
            <w:r>
              <w:rPr>
                <w:rFonts w:ascii="Times New Roman" w:hAnsi="Times New Roman" w:eastAsia="Times New Roman" w:cs="Times New Roman"/>
                <w:b w:val="0"/>
                <w:i w:val="0"/>
                <w:caps w:val="0"/>
                <w:color w:val="000000"/>
                <w:sz w:val="26"/>
              </w:rPr>
              <w:t>1.9. “Năm” là năm dương lịch;</w:t>
            </w:r>
          </w:p>
          <w:p>
            <w:pPr>
              <w:spacing w:before="0" w:after="60"/>
              <w:jc w:val="left"/>
            </w:pPr>
            <w:r>
              <w:rPr>
                <w:rFonts w:ascii="Times New Roman" w:hAnsi="Times New Roman" w:eastAsia="Times New Roman" w:cs="Times New Roman"/>
                <w:b w:val="0"/>
                <w:i w:val="0"/>
                <w:caps w:val="0"/>
                <w:color w:val="000000"/>
                <w:sz w:val="26"/>
              </w:rPr>
              <w:t>1.10. “Ngày” là ngày dương lịch;</w:t>
            </w:r>
          </w:p>
          <w:p>
            <w:pPr>
              <w:spacing w:before="0" w:after="60"/>
              <w:jc w:val="left"/>
            </w:pPr>
            <w:r>
              <w:rPr>
                <w:rFonts w:ascii="Times New Roman" w:hAnsi="Times New Roman" w:eastAsia="Times New Roman" w:cs="Times New Roman"/>
                <w:b w:val="0"/>
                <w:i w:val="0"/>
                <w:caps w:val="0"/>
                <w:color w:val="000000"/>
                <w:sz w:val="26"/>
              </w:rPr>
              <w:t>1.11. "Nhà thầu" là Nhà thầu trúng thầu (có thể là Nhà thầu độc lập hoặc liên danh) và được quy định tại E-ĐKCT;</w:t>
            </w:r>
          </w:p>
          <w:p>
            <w:pPr>
              <w:spacing w:before="0" w:after="60"/>
              <w:jc w:val="left"/>
            </w:pPr>
            <w:r>
              <w:rPr>
                <w:rFonts w:ascii="Times New Roman" w:hAnsi="Times New Roman" w:eastAsia="Times New Roman" w:cs="Times New Roman"/>
                <w:b w:val="0"/>
                <w:i w:val="0"/>
                <w:caps w:val="0"/>
                <w:color w:val="000000"/>
                <w:sz w:val="26"/>
              </w:rPr>
              <w:t>1.12. “Nhà thầu phụ” là tổ chức, cá nhân ký hợp đồng với nhà thầu để tham gia thực hiện công việc phi tư vấn;</w:t>
            </w:r>
          </w:p>
          <w:p>
            <w:pPr>
              <w:spacing w:before="0" w:after="60"/>
              <w:jc w:val="left"/>
            </w:pPr>
            <w:r>
              <w:rPr>
                <w:rFonts w:ascii="Times New Roman" w:hAnsi="Times New Roman" w:eastAsia="Times New Roman" w:cs="Times New Roman"/>
                <w:b w:val="0"/>
                <w:i w:val="0"/>
                <w:caps w:val="0"/>
                <w:color w:val="000000"/>
                <w:sz w:val="26"/>
              </w:rPr>
              <w:t>1.13. “Tài liệu Hợp đồng” là các tài liệu được liệt kê trong Hợp đồng, bao gồm bất kỳ bản sửa đổi, bổ sung nào của Hợp đồng;</w:t>
            </w:r>
          </w:p>
          <w:p>
            <w:pPr>
              <w:spacing w:before="0" w:after="60"/>
              <w:jc w:val="left"/>
            </w:pPr>
            <w:r>
              <w:rPr>
                <w:rFonts w:ascii="Times New Roman" w:hAnsi="Times New Roman" w:eastAsia="Times New Roman" w:cs="Times New Roman"/>
                <w:b w:val="0"/>
                <w:i w:val="0"/>
                <w:caps w:val="0"/>
                <w:color w:val="000000"/>
                <w:sz w:val="26"/>
              </w:rPr>
              <w:t>1.14. “Tháng” là tháng dương lịch;</w:t>
            </w:r>
          </w:p>
          <w:p>
            <w:pPr>
              <w:spacing w:before="0" w:after="60"/>
              <w:jc w:val="left"/>
            </w:pPr>
            <w:r>
              <w:rPr>
                <w:rFonts w:ascii="Times New Roman" w:hAnsi="Times New Roman" w:eastAsia="Times New Roman" w:cs="Times New Roman"/>
                <w:b w:val="0"/>
                <w:i w:val="0"/>
                <w:caps w:val="0"/>
                <w:color w:val="000000"/>
                <w:sz w:val="26"/>
              </w:rPr>
              <w:t>1.15. “Thời gian thực hiện hợp đồng” được tính từ ngày hợp đồng có hiệu lực cho đến khi các bên đã hoàn thành các nghĩa vụ theo hợp đồng đã ký.</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 Hồ sơ hợp đồng và thứ tự ưu tiên</w:t>
            </w:r>
          </w:p>
        </w:tc>
        <w:tc>
          <w:tcPr>
            <w:tcW w:type="dxa" w:w="7300"/>
          </w:tcPr>
          <w:p>
            <w:pPr>
              <w:spacing w:before="0" w:after="60"/>
              <w:jc w:val="left"/>
            </w:pPr>
            <w:r>
              <w:rPr>
                <w:rFonts w:ascii="Times New Roman" w:hAnsi="Times New Roman" w:eastAsia="Times New Roman" w:cs="Times New Roman"/>
                <w:b w:val="0"/>
                <w:i w:val="0"/>
                <w:caps w:val="0"/>
                <w:color w:val="000000"/>
                <w:sz w:val="26"/>
              </w:rPr>
              <w:t>2.1. Tất cả các tài liệu nêu tại Mục 2.2 E-ĐKC (bao gồm cả các phần của tài liệu) sẽ cấu thành Hợp đồng để tạo thành thể thống nhất, có tính tương hỗ, bổ sung và giải thích cho nhau.</w:t>
            </w:r>
          </w:p>
          <w:p>
            <w:pPr>
              <w:spacing w:before="0" w:after="60"/>
              <w:jc w:val="left"/>
            </w:pPr>
            <w:r>
              <w:rPr>
                <w:rFonts w:ascii="Times New Roman" w:hAnsi="Times New Roman" w:eastAsia="Times New Roman" w:cs="Times New Roman"/>
                <w:b w:val="0"/>
                <w:i w:val="0"/>
                <w:caps w:val="0"/>
                <w:color w:val="000000"/>
                <w:sz w:val="26"/>
              </w:rPr>
              <w:t>2.2. Các tài liệu cấu thành hợp đồng được sắp xếp theo thứ tự ưu tiên sau đây:</w:t>
            </w:r>
          </w:p>
          <w:p>
            <w:pPr>
              <w:spacing w:before="0" w:after="60"/>
              <w:jc w:val="left"/>
            </w:pPr>
            <w:r>
              <w:rPr>
                <w:rFonts w:ascii="Times New Roman" w:hAnsi="Times New Roman" w:eastAsia="Times New Roman" w:cs="Times New Roman"/>
                <w:b w:val="0"/>
                <w:i w:val="0"/>
                <w:caps w:val="0"/>
                <w:color w:val="000000"/>
                <w:sz w:val="26"/>
              </w:rPr>
              <w:t>a) Văn bản Hợp đồng, kèm theo các phụ lục hợp đồng;</w:t>
            </w:r>
          </w:p>
          <w:p>
            <w:pPr>
              <w:spacing w:before="0" w:after="60"/>
              <w:jc w:val="left"/>
            </w:pPr>
            <w:r>
              <w:rPr>
                <w:rFonts w:ascii="Times New Roman" w:hAnsi="Times New Roman" w:eastAsia="Times New Roman" w:cs="Times New Roman"/>
                <w:b w:val="0"/>
                <w:i w:val="0"/>
                <w:caps w:val="0"/>
                <w:color w:val="000000"/>
                <w:sz w:val="26"/>
              </w:rPr>
              <w:t>b) E-ĐKCT của hợp đồng được điền đầy đủ toàn bộ nội dung và bao gồm cả các nội dung hiệu chỉnh, bổ sung, làm rõ trong quá trình lựa chọn nhà thầu, hoàn thiện hợp đồng (nếu có);</w:t>
            </w:r>
          </w:p>
          <w:p>
            <w:pPr>
              <w:spacing w:before="0" w:after="60"/>
              <w:jc w:val="left"/>
            </w:pPr>
            <w:r>
              <w:rPr>
                <w:rFonts w:ascii="Times New Roman" w:hAnsi="Times New Roman" w:eastAsia="Times New Roman" w:cs="Times New Roman"/>
                <w:b w:val="0"/>
                <w:i w:val="0"/>
                <w:caps w:val="0"/>
                <w:color w:val="000000"/>
                <w:sz w:val="26"/>
              </w:rPr>
              <w:t>c) Biên bản hoàn thiện hợp đồng;</w:t>
            </w:r>
          </w:p>
          <w:p>
            <w:pPr>
              <w:spacing w:before="0" w:after="60"/>
              <w:jc w:val="left"/>
            </w:pPr>
            <w:r>
              <w:rPr>
                <w:rFonts w:ascii="Times New Roman" w:hAnsi="Times New Roman" w:eastAsia="Times New Roman" w:cs="Times New Roman"/>
                <w:b w:val="0"/>
                <w:i w:val="0"/>
                <w:caps w:val="0"/>
                <w:color w:val="000000"/>
                <w:sz w:val="26"/>
              </w:rPr>
              <w:t>d) E-ĐKC của hợp đồng;</w:t>
            </w:r>
          </w:p>
          <w:p>
            <w:pPr>
              <w:spacing w:before="0" w:after="60"/>
              <w:jc w:val="left"/>
            </w:pPr>
            <w:r>
              <w:rPr>
                <w:rFonts w:ascii="Times New Roman" w:hAnsi="Times New Roman" w:eastAsia="Times New Roman" w:cs="Times New Roman"/>
                <w:b w:val="0"/>
                <w:i w:val="0"/>
                <w:caps w:val="0"/>
                <w:color w:val="000000"/>
                <w:sz w:val="26"/>
              </w:rPr>
              <w:t>đ) Quyết định phê duyệt kết quả lựa chọn nhà thầu;</w:t>
            </w:r>
          </w:p>
          <w:p>
            <w:pPr>
              <w:spacing w:before="0" w:after="60"/>
              <w:jc w:val="left"/>
            </w:pPr>
            <w:r>
              <w:rPr>
                <w:rFonts w:ascii="Times New Roman" w:hAnsi="Times New Roman" w:eastAsia="Times New Roman" w:cs="Times New Roman"/>
                <w:b w:val="0"/>
                <w:i w:val="0"/>
                <w:caps w:val="0"/>
                <w:color w:val="000000"/>
                <w:sz w:val="26"/>
              </w:rPr>
              <w:t>e) Thư chấp thuận E-HSDT và trao hợp đồng;</w:t>
            </w:r>
          </w:p>
          <w:p>
            <w:pPr>
              <w:spacing w:before="0" w:after="60"/>
              <w:jc w:val="left"/>
            </w:pPr>
            <w:r>
              <w:rPr>
                <w:rFonts w:ascii="Times New Roman" w:hAnsi="Times New Roman" w:eastAsia="Times New Roman" w:cs="Times New Roman"/>
                <w:b w:val="0"/>
                <w:i w:val="0"/>
                <w:caps w:val="0"/>
                <w:color w:val="000000"/>
                <w:sz w:val="26"/>
              </w:rPr>
              <w:t>g) E-HSDT và các văn bản làm rõ E-HSDT của Nhà thầu (nếu có);</w:t>
            </w:r>
          </w:p>
          <w:p>
            <w:pPr>
              <w:spacing w:before="0" w:after="60"/>
              <w:jc w:val="left"/>
            </w:pPr>
            <w:r>
              <w:rPr>
                <w:rFonts w:ascii="Times New Roman" w:hAnsi="Times New Roman" w:eastAsia="Times New Roman" w:cs="Times New Roman"/>
                <w:b w:val="0"/>
                <w:i w:val="0"/>
                <w:caps w:val="0"/>
                <w:color w:val="000000"/>
                <w:sz w:val="26"/>
              </w:rPr>
              <w:t>h) E-HSMT và các tài liệu sửa đổi, làm rõ E-HSMT (nếu có);</w:t>
            </w:r>
          </w:p>
          <w:p>
            <w:pPr>
              <w:spacing w:before="0" w:after="60"/>
              <w:jc w:val="left"/>
            </w:pPr>
            <w:r>
              <w:rPr>
                <w:rFonts w:ascii="Times New Roman" w:hAnsi="Times New Roman" w:eastAsia="Times New Roman" w:cs="Times New Roman"/>
                <w:b w:val="0"/>
                <w:i w:val="0"/>
                <w:caps w:val="0"/>
                <w:color w:val="000000"/>
                <w:sz w:val="26"/>
              </w:rPr>
              <w:t>i) Các tài liệu khác quy định tại E-ĐKCT.</w:t>
            </w:r>
          </w:p>
          <w:p>
            <w:pPr>
              <w:spacing w:before="0" w:after="60"/>
              <w:jc w:val="left"/>
            </w:pPr>
            <w:r>
              <w:rPr>
                <w:rFonts w:ascii="Times New Roman" w:hAnsi="Times New Roman" w:eastAsia="Times New Roman" w:cs="Times New Roman"/>
                <w:b w:val="0"/>
                <w:i w:val="0"/>
                <w:caps w:val="0"/>
                <w:color w:val="000000"/>
                <w:sz w:val="26"/>
              </w:rPr>
              <w:t>2.3. Tài liệu hợp đồng là một phần của hồ sơ hợp đồng quy định tại Điều 65 của Luật Đấu thầu và được các bên ký số để tạo thành hợp đồng điện tử bao gồm:</w:t>
            </w:r>
          </w:p>
          <w:p>
            <w:pPr>
              <w:spacing w:before="0" w:after="60"/>
              <w:jc w:val="left"/>
            </w:pPr>
            <w:r>
              <w:rPr>
                <w:rFonts w:ascii="Times New Roman" w:hAnsi="Times New Roman" w:eastAsia="Times New Roman" w:cs="Times New Roman"/>
                <w:b w:val="0"/>
                <w:i w:val="0"/>
                <w:caps w:val="0"/>
                <w:color w:val="000000"/>
                <w:sz w:val="26"/>
              </w:rPr>
              <w:t>a) Văn bản hợp đồng;</w:t>
            </w:r>
          </w:p>
          <w:p>
            <w:pPr>
              <w:spacing w:before="0" w:after="60"/>
              <w:jc w:val="left"/>
            </w:pPr>
            <w:r>
              <w:rPr>
                <w:rFonts w:ascii="Times New Roman" w:hAnsi="Times New Roman" w:eastAsia="Times New Roman" w:cs="Times New Roman"/>
                <w:b w:val="0"/>
                <w:i w:val="0"/>
                <w:caps w:val="0"/>
                <w:color w:val="000000"/>
                <w:sz w:val="26"/>
              </w:rPr>
              <w:t>b) Điều kiện cụ thể của hợp đồng được điền đầy đủ toàn bộ nội dung và bao gồm cả các nội dung hiệu chỉnh, bổ sung, làm rõ trong quá trình lựa chọn nhà thầu;</w:t>
            </w:r>
          </w:p>
          <w:p>
            <w:pPr>
              <w:spacing w:before="0" w:after="60"/>
              <w:jc w:val="left"/>
            </w:pPr>
            <w:r>
              <w:rPr>
                <w:rFonts w:ascii="Times New Roman" w:hAnsi="Times New Roman" w:eastAsia="Times New Roman" w:cs="Times New Roman"/>
                <w:b w:val="0"/>
                <w:i w:val="0"/>
                <w:caps w:val="0"/>
                <w:color w:val="000000"/>
                <w:sz w:val="26"/>
              </w:rPr>
              <w:t>c) Phụ lục hợp đồng gồm danh mục chi tiết về phạm vi công việc, biểu giá, tiến độ thực hiện (nếu có);</w:t>
            </w:r>
          </w:p>
          <w:p>
            <w:pPr>
              <w:spacing w:before="0" w:after="60"/>
              <w:jc w:val="left"/>
            </w:pPr>
            <w:r>
              <w:rPr>
                <w:rFonts w:ascii="Times New Roman" w:hAnsi="Times New Roman" w:eastAsia="Times New Roman" w:cs="Times New Roman"/>
                <w:b w:val="0"/>
                <w:i w:val="0"/>
                <w:caps w:val="0"/>
                <w:color w:val="000000"/>
                <w:sz w:val="26"/>
              </w:rPr>
              <w:t>d) Tài liệu khác (nếu có).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 Luật và ngôn ngữ</w:t>
            </w:r>
          </w:p>
        </w:tc>
        <w:tc>
          <w:tcPr>
            <w:tcW w:type="dxa" w:w="7300"/>
          </w:tcPr>
          <w:p>
            <w:pPr>
              <w:spacing w:before="0" w:after="60"/>
              <w:jc w:val="left"/>
            </w:pPr>
            <w:r>
              <w:rPr>
                <w:rFonts w:ascii="Times New Roman" w:hAnsi="Times New Roman" w:eastAsia="Times New Roman" w:cs="Times New Roman"/>
                <w:b w:val="0"/>
                <w:i w:val="0"/>
                <w:caps w:val="0"/>
                <w:color w:val="000000"/>
                <w:sz w:val="26"/>
              </w:rPr>
              <w:t>3.1. Luật điều chỉnh hợp đồng là luật Việt Nam;</w:t>
            </w:r>
          </w:p>
          <w:p>
            <w:pPr>
              <w:spacing w:before="0" w:after="60"/>
              <w:jc w:val="left"/>
            </w:pPr>
            <w:r>
              <w:rPr>
                <w:rFonts w:ascii="Times New Roman" w:hAnsi="Times New Roman" w:eastAsia="Times New Roman" w:cs="Times New Roman"/>
                <w:b w:val="0"/>
                <w:i w:val="0"/>
                <w:caps w:val="0"/>
                <w:color w:val="000000"/>
                <w:sz w:val="26"/>
              </w:rPr>
              <w:t>3.2. Ngôn ngữ của hợp đồng là tiếng Việt.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4. Thông báo</w:t>
            </w:r>
          </w:p>
        </w:tc>
        <w:tc>
          <w:tcPr>
            <w:tcW w:type="dxa" w:w="7300"/>
          </w:tcPr>
          <w:p>
            <w:pPr>
              <w:spacing w:before="0" w:after="60"/>
              <w:jc w:val="left"/>
            </w:pPr>
            <w:r>
              <w:rPr>
                <w:rFonts w:ascii="Times New Roman" w:hAnsi="Times New Roman" w:eastAsia="Times New Roman" w:cs="Times New Roman"/>
                <w:b w:val="0"/>
                <w:i w:val="0"/>
                <w:caps w:val="0"/>
                <w:color w:val="000000"/>
                <w:sz w:val="26"/>
              </w:rPr>
              <w:t>4.1. Bất cứ thông báo nào của một bên gửi cho bên kia liên quan đến hợp đồng phải được thể hiện bằng văn bản, theo địa chỉ quy định tại E-ĐKCT. Thuật ngữ “bằng văn bản” có nghĩa là hình thức truyền đạt thông tin dưới dạng viết và có bằng chứng về việc tiếp nhận thông tin.</w:t>
            </w:r>
          </w:p>
          <w:p>
            <w:pPr>
              <w:spacing w:before="0" w:after="60"/>
              <w:jc w:val="left"/>
            </w:pPr>
            <w:r>
              <w:rPr>
                <w:rFonts w:ascii="Times New Roman" w:hAnsi="Times New Roman" w:eastAsia="Times New Roman" w:cs="Times New Roman"/>
                <w:b w:val="0"/>
                <w:i w:val="0"/>
                <w:caps w:val="0"/>
                <w:color w:val="000000"/>
                <w:sz w:val="26"/>
              </w:rPr>
              <w:t>4.2. Thông báo của một bên sẽ được coi là có hiệu lực kể từ ngày bên kia nhận được hoặc theo ngày hiệu lực nêu trong thông báo, tùy theo ngày nào đến muộn hơn.</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5. Bảo đảm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5.1. Bảo đảm thực hiện hợp đồng phải được nộp lên Chủ đầu tư không muộn hơn ngày quy định tại Thư chấp thuận E-HSDT và trao hợp đồng. Bảo đảm thực hiện hợp đồng được thực hiện bằng một hoặc các hình thức sau:</w:t>
            </w:r>
          </w:p>
          <w:p>
            <w:pPr>
              <w:spacing w:before="0" w:after="60"/>
              <w:jc w:val="left"/>
            </w:pPr>
            <w:r>
              <w:rPr>
                <w:rFonts w:ascii="Times New Roman" w:hAnsi="Times New Roman" w:eastAsia="Times New Roman" w:cs="Times New Roman"/>
                <w:b w:val="0"/>
                <w:i w:val="0"/>
                <w:caps w:val="0"/>
                <w:color w:val="000000"/>
                <w:sz w:val="26"/>
              </w:rPr>
              <w:t>a) Đặt cọc bằng Séc bảo chi hoặc nộp tiền mặt hoặc chuyển khoản vào tài khoản của Chủ đầu tư đối với bảo đảm thực hiện hợp đồng có giá trị dưới 50 triệu đồng và thời gian có hiệu lực của Séc bảo chi phù hợp với thời gian thực hiện gói thầu;</w:t>
            </w:r>
          </w:p>
          <w:p>
            <w:pPr>
              <w:spacing w:before="0" w:after="60"/>
              <w:jc w:val="left"/>
            </w:pPr>
            <w:r>
              <w:rPr>
                <w:rFonts w:ascii="Times New Roman" w:hAnsi="Times New Roman" w:eastAsia="Times New Roman" w:cs="Times New Roman"/>
                <w:b w:val="0"/>
                <w:i w:val="0"/>
                <w:caps w:val="0"/>
                <w:color w:val="000000"/>
                <w:sz w:val="26"/>
              </w:rPr>
              <w:t>b) Nộp thư bảo lãnh của tổ chức tín dụng trong nước, chi nhánh ngân hàng nước ngoài được thành lập theo pháp luật Việt Nam;</w:t>
            </w:r>
          </w:p>
          <w:p>
            <w:pPr>
              <w:spacing w:before="0" w:after="60"/>
              <w:jc w:val="left"/>
            </w:pPr>
            <w:r>
              <w:rPr>
                <w:rFonts w:ascii="Times New Roman" w:hAnsi="Times New Roman" w:eastAsia="Times New Roman" w:cs="Times New Roman"/>
                <w:b w:val="0"/>
                <w:i w:val="0"/>
                <w:caps w:val="0"/>
                <w:color w:val="000000"/>
                <w:sz w:val="26"/>
              </w:rPr>
              <w:t>c) Nộp giấy chứng nhận bảo hiểm bảo lãnh của doanh nghiệp bảo hiểm phi nhân thọ trong nước, chi nhánh doanh nghiệp bảo hiểm phi nhân thọ nước ngoài được thành lập theo pháp luật Việt Nam.</w:t>
            </w:r>
          </w:p>
          <w:p>
            <w:pPr>
              <w:spacing w:before="0" w:after="60"/>
              <w:jc w:val="left"/>
            </w:pPr>
            <w:r>
              <w:rPr>
                <w:rFonts w:ascii="Times New Roman" w:hAnsi="Times New Roman" w:eastAsia="Times New Roman" w:cs="Times New Roman"/>
                <w:b w:val="0"/>
                <w:i w:val="0"/>
                <w:caps w:val="0"/>
                <w:color w:val="000000"/>
                <w:sz w:val="26"/>
              </w:rPr>
              <w:t>Bảo đảm thực hiện hợp đồng theo quy định tại điểm b và điểm c Mục này là bảo đảm không có điều kiện (trả tiền khi có yêu cầu), theo mẫu quy định tại Chương VIII hoặc một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5.2. Bảo đảm thực hiện hợp đồng có giá trị và hiệu lực quy định tại E-ĐKCT.</w:t>
            </w:r>
          </w:p>
          <w:p>
            <w:pPr>
              <w:spacing w:before="0" w:after="60"/>
              <w:jc w:val="left"/>
            </w:pPr>
            <w:r>
              <w:rPr>
                <w:rFonts w:ascii="Times New Roman" w:hAnsi="Times New Roman" w:eastAsia="Times New Roman" w:cs="Times New Roman"/>
                <w:b w:val="0"/>
                <w:i w:val="0"/>
                <w:caps w:val="0"/>
                <w:color w:val="000000"/>
                <w:sz w:val="26"/>
              </w:rPr>
              <w:t>5.3. Bảo đảm thực hiện hợp đồng sẽ được trả cho Chủ đầu tư để bồi thường cho bất kỳ tổn thất nào phát sinh do Nhà thầu không hoàn thành các nghĩa vụ hợp đồng.</w:t>
            </w:r>
          </w:p>
          <w:p>
            <w:pPr>
              <w:spacing w:before="0" w:after="60"/>
              <w:jc w:val="left"/>
            </w:pPr>
            <w:r>
              <w:rPr>
                <w:rFonts w:ascii="Times New Roman" w:hAnsi="Times New Roman" w:eastAsia="Times New Roman" w:cs="Times New Roman"/>
                <w:b w:val="0"/>
                <w:i w:val="0"/>
                <w:caps w:val="0"/>
                <w:color w:val="000000"/>
                <w:sz w:val="26"/>
              </w:rPr>
              <w:t>5.4. Thời hạn hoàn trả bảo đảm thực hiện hợp đồng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6. Ký hợp đồng thầu phụ</w:t>
            </w:r>
          </w:p>
        </w:tc>
        <w:tc>
          <w:tcPr>
            <w:tcW w:type="dxa" w:w="7300"/>
          </w:tcPr>
          <w:p>
            <w:pPr>
              <w:spacing w:before="0" w:after="60"/>
              <w:jc w:val="left"/>
            </w:pPr>
            <w:r>
              <w:rPr>
                <w:rFonts w:ascii="Times New Roman" w:hAnsi="Times New Roman" w:eastAsia="Times New Roman" w:cs="Times New Roman"/>
                <w:b w:val="0"/>
                <w:i w:val="0"/>
                <w:caps w:val="0"/>
                <w:color w:val="000000"/>
                <w:sz w:val="26"/>
              </w:rPr>
              <w:t>6.1. Nhà thầu được ký kết hợp đồng với các nhà thầu phụ trong danh sách các nhà thầu phụ quy định tại E-ĐKCT 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Việc thay thế, bổ sung nhà thầu phụ trong danh sách các nhà thầu phụ nêu trong E-HSDT hoặc thay đổi nội dung thầu phụ nêu trong E-HSDT chỉ được thực hiện khi được Chủ đầu tư,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p>
          <w:p>
            <w:pPr>
              <w:spacing w:before="0" w:after="60"/>
              <w:jc w:val="left"/>
            </w:pPr>
            <w:r>
              <w:rPr>
                <w:rFonts w:ascii="Times New Roman" w:hAnsi="Times New Roman" w:eastAsia="Times New Roman" w:cs="Times New Roman"/>
                <w:b w:val="0"/>
                <w:i w:val="0"/>
                <w:caps w:val="0"/>
                <w:color w:val="000000"/>
                <w:sz w:val="26"/>
              </w:rPr>
              <w:t>6.2. Giá trị công việc mà các nhà thầu phụ quy định tại Mục 6.1 E-ĐKC thực hiện không được vượt quá tỷ lệ phần trăm theo giá hợp đồng quy định tại E-ĐKCT.</w:t>
            </w:r>
          </w:p>
          <w:p>
            <w:pPr>
              <w:spacing w:before="0" w:after="60"/>
              <w:jc w:val="left"/>
            </w:pPr>
            <w:r>
              <w:rPr>
                <w:rFonts w:ascii="Times New Roman" w:hAnsi="Times New Roman" w:eastAsia="Times New Roman" w:cs="Times New Roman"/>
                <w:b w:val="0"/>
                <w:i w:val="0"/>
                <w:caps w:val="0"/>
                <w:color w:val="000000"/>
                <w:sz w:val="26"/>
              </w:rPr>
              <w:t>6.3. Nhà thầu có trách nhiệm thanh toán đầy đủ và đúng hạn cho nhà thầu phụ theo các điều khoản thỏa thuận giữa Nhà thầu và nhà thầu phụ. Nhà thầu không được sử dụng nhà thầu phụ cho các công việc khác ngoài công việc kê khai sử dụng nhà thầu phụ nêu trong E-HSDT.</w:t>
            </w:r>
          </w:p>
          <w:p>
            <w:pPr>
              <w:spacing w:before="0" w:after="60"/>
              <w:jc w:val="left"/>
            </w:pPr>
            <w:r>
              <w:rPr>
                <w:rFonts w:ascii="Times New Roman" w:hAnsi="Times New Roman" w:eastAsia="Times New Roman" w:cs="Times New Roman"/>
                <w:b w:val="0"/>
                <w:i w:val="0"/>
                <w:caps w:val="0"/>
                <w:color w:val="000000"/>
                <w:sz w:val="26"/>
              </w:rPr>
              <w:t>6.4. Yêu cầu khác về nhà thầu phụ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7. Phạm vi cung cấp</w:t>
            </w:r>
          </w:p>
        </w:tc>
        <w:tc>
          <w:tcPr>
            <w:tcW w:type="dxa" w:w="7300"/>
          </w:tcPr>
          <w:p>
            <w:pPr>
              <w:spacing w:before="0" w:after="60"/>
              <w:jc w:val="left"/>
            </w:pPr>
            <w:r>
              <w:rPr>
                <w:rFonts w:ascii="Times New Roman" w:hAnsi="Times New Roman" w:eastAsia="Times New Roman" w:cs="Times New Roman"/>
                <w:b w:val="0"/>
                <w:i w:val="0"/>
                <w:caps w:val="0"/>
                <w:color w:val="000000"/>
                <w:sz w:val="26"/>
              </w:rPr>
              <w:t>Dịch vụ phi tư vấn sẽ được cung cấp theo quy định tại Chương IV được đính kèm thành Phụ lục và là một bộ phận không tách rời của hợp đồng này, bao gồm các loại dịch vụ mà Nhà thầu phải cung cấp và đơn giá của các loại dịch vụ đó.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8. Tiến độ cung cấp dịch vụ phi tư vấn</w:t>
            </w:r>
          </w:p>
        </w:tc>
        <w:tc>
          <w:tcPr>
            <w:tcW w:type="dxa" w:w="7300"/>
          </w:tcPr>
          <w:p>
            <w:pPr>
              <w:spacing w:before="0" w:after="60"/>
              <w:jc w:val="left"/>
            </w:pPr>
            <w:r>
              <w:rPr>
                <w:rFonts w:ascii="Times New Roman" w:hAnsi="Times New Roman" w:eastAsia="Times New Roman" w:cs="Times New Roman"/>
                <w:b w:val="0"/>
                <w:i w:val="0"/>
                <w:caps w:val="0"/>
                <w:color w:val="000000"/>
                <w:sz w:val="26"/>
              </w:rPr>
              <w:t>Tiến độ cung cấp dịch vụ phi tư vấn và thời gian dự kiến hoàn thành phải được thực hiện theo quy định tại Mẫu số 10A hoặc Mẫu số 10B hoặc Mẫu số 10C hoặc Mẫu số 10D Chương IV.</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9. Trách nhiệm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phải cung cấp dịch vụ phi tư vấn trong phạm vi cung cấp quy định tại Mục 7 E-ĐKC và theo tiến độ cung cấp dịch vụ phi tư vấn và lịch hoàn thành quy định tại Mục 8 E-ĐKC.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10. Loại hợp đồng và giá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10.1. Loại hợp đồng theo quy định tại E-ĐKCT.</w:t>
            </w:r>
          </w:p>
          <w:p>
            <w:pPr>
              <w:spacing w:before="0" w:after="60"/>
              <w:jc w:val="left"/>
            </w:pPr>
            <w:r>
              <w:rPr>
                <w:rFonts w:ascii="Times New Roman" w:hAnsi="Times New Roman" w:eastAsia="Times New Roman" w:cs="Times New Roman"/>
                <w:b w:val="0"/>
                <w:i w:val="0"/>
                <w:caps w:val="0"/>
                <w:color w:val="000000"/>
                <w:sz w:val="26"/>
              </w:rPr>
              <w:t>10.2. Giá hợp đồng được ghi tại E-ĐKCT là toàn bộ chi phí để thực hiện hoàn thành việc cung cấp dịch vụ phi tư vấn của gói thầu nêu trong Bảng giá hợp đồng trên cơ sở bảo đảm tiến độ, chất lượng theo đúng yêu cầu của gói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11. Điều chỉnh thuế</w:t>
            </w:r>
          </w:p>
        </w:tc>
        <w:tc>
          <w:tcPr>
            <w:tcW w:type="dxa" w:w="7300"/>
          </w:tcPr>
          <w:p>
            <w:pPr>
              <w:spacing w:before="0" w:after="60"/>
              <w:jc w:val="left"/>
            </w:pPr>
            <w:r>
              <w:rPr>
                <w:rFonts w:ascii="Times New Roman" w:hAnsi="Times New Roman" w:eastAsia="Times New Roman" w:cs="Times New Roman"/>
                <w:b w:val="0"/>
                <w:i w:val="0"/>
                <w:caps w:val="0"/>
                <w:color w:val="000000"/>
                <w:sz w:val="26"/>
              </w:rPr>
              <w:t>Việc điều chỉnh thuế thực hiện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12. Tạm ứng</w:t>
            </w:r>
          </w:p>
        </w:tc>
        <w:tc>
          <w:tcPr>
            <w:tcW w:type="dxa" w:w="7300"/>
          </w:tcPr>
          <w:p>
            <w:pPr>
              <w:spacing w:before="0" w:after="60"/>
              <w:jc w:val="left"/>
            </w:pPr>
            <w:r>
              <w:rPr>
                <w:rFonts w:ascii="Times New Roman" w:hAnsi="Times New Roman" w:eastAsia="Times New Roman" w:cs="Times New Roman"/>
                <w:b w:val="0"/>
                <w:i w:val="0"/>
                <w:caps w:val="0"/>
                <w:color w:val="000000"/>
                <w:sz w:val="26"/>
              </w:rPr>
              <w:t>12.1. Chủ đầu tư phải cấp cho Nhà thầu khoản tiền tạm ứng theo quy định tại E-ĐKCT, sau khi Nhà thầu nộp Bảo lãnh tạm ứng tương đương với khoản tiền tạm ứng. Bảo lãnh tạm ứng phải được phát hành bởi một tổ chức tín dụng trong nước hoặc chi nhánh ngân hàng nước ngoài được thành lập theo pháp luật Việt Nam và có hiệu lực cho đến khi hoàn trả hết khoản tiền tạm ứng; giá trị của bảo lãnh tạm ứng sẽ được giảm dần theo số tiền tạm ứng mà Nhà thầu hoàn trả. Không tính lãi đối với tiền tạm ứng.</w:t>
            </w:r>
          </w:p>
          <w:p>
            <w:pPr>
              <w:spacing w:before="0" w:after="60"/>
              <w:jc w:val="left"/>
            </w:pPr>
            <w:r>
              <w:rPr>
                <w:rFonts w:ascii="Times New Roman" w:hAnsi="Times New Roman" w:eastAsia="Times New Roman" w:cs="Times New Roman"/>
                <w:b w:val="0"/>
                <w:i w:val="0"/>
                <w:caps w:val="0"/>
                <w:color w:val="000000"/>
                <w:sz w:val="26"/>
              </w:rPr>
              <w:t>12.2.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13. Thanh toán</w:t>
            </w:r>
          </w:p>
        </w:tc>
        <w:tc>
          <w:tcPr>
            <w:tcW w:type="dxa" w:w="7300"/>
          </w:tcPr>
          <w:p>
            <w:pPr>
              <w:spacing w:before="0" w:after="60"/>
              <w:jc w:val="left"/>
            </w:pPr>
            <w:r>
              <w:rPr>
                <w:rFonts w:ascii="Times New Roman" w:hAnsi="Times New Roman" w:eastAsia="Times New Roman" w:cs="Times New Roman"/>
                <w:b w:val="0"/>
                <w:i w:val="0"/>
                <w:caps w:val="0"/>
                <w:color w:val="000000"/>
                <w:sz w:val="26"/>
              </w:rPr>
              <w:t>13.1. Yêu cầu thanh toán của Nhà thầu phải được gửi cho Chủ đầu tư bằng văn bản, kèm theo hóa đơn mô tả dịch vụ đã thực hiện khi đã hoàn thành tất cả các nghĩa vụ khác quy định trong hợp đồng. Việc thanh toán thực hiện theo quy định tại E-ĐKCT.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w:t>
            </w:r>
          </w:p>
          <w:p>
            <w:pPr>
              <w:spacing w:before="0" w:after="60"/>
              <w:jc w:val="left"/>
            </w:pPr>
            <w:r>
              <w:rPr>
                <w:rFonts w:ascii="Times New Roman" w:hAnsi="Times New Roman" w:eastAsia="Times New Roman" w:cs="Times New Roman"/>
                <w:b w:val="0"/>
                <w:i w:val="0"/>
                <w:caps w:val="0"/>
                <w:color w:val="000000"/>
                <w:sz w:val="26"/>
              </w:rPr>
              <w:t>13.2. Việc giảm trừ thanh toán trên cơ sở chất lượng dịch vụ thực hiện theo quy định tại E-ĐKCT.</w:t>
            </w:r>
          </w:p>
          <w:p>
            <w:pPr>
              <w:spacing w:before="0" w:after="60"/>
              <w:jc w:val="left"/>
            </w:pPr>
            <w:r>
              <w:rPr>
                <w:rFonts w:ascii="Times New Roman" w:hAnsi="Times New Roman" w:eastAsia="Times New Roman" w:cs="Times New Roman"/>
                <w:b w:val="0"/>
                <w:i w:val="0"/>
                <w:caps w:val="0"/>
                <w:color w:val="000000"/>
                <w:sz w:val="26"/>
              </w:rPr>
              <w:t>13.3. Đồng tiền thanh toán là: VND.</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14. Sử dụng các tài liệu và thông tin liên quan đến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14.1. Chủ đầu tư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thầu phụ thực hiện công việc của mình theo hợp đồng; trong trường hợp này, nhà thầu phụ phải có cam kết với Nhà thầu về việc bảo mật các tài liệu, dữ liệu hoặc thông tin đó.</w:t>
            </w:r>
          </w:p>
          <w:p>
            <w:pPr>
              <w:spacing w:before="0" w:after="60"/>
              <w:jc w:val="left"/>
            </w:pPr>
            <w:r>
              <w:rPr>
                <w:rFonts w:ascii="Times New Roman" w:hAnsi="Times New Roman" w:eastAsia="Times New Roman" w:cs="Times New Roman"/>
                <w:b w:val="0"/>
                <w:i w:val="0"/>
                <w:caps w:val="0"/>
                <w:color w:val="000000"/>
                <w:sz w:val="26"/>
              </w:rPr>
              <w:t>14.2.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w:pPr>
              <w:spacing w:before="0" w:after="60"/>
              <w:jc w:val="left"/>
            </w:pPr>
            <w:r>
              <w:rPr>
                <w:rFonts w:ascii="Times New Roman" w:hAnsi="Times New Roman" w:eastAsia="Times New Roman" w:cs="Times New Roman"/>
                <w:b w:val="0"/>
                <w:i w:val="0"/>
                <w:caps w:val="0"/>
                <w:color w:val="000000"/>
                <w:sz w:val="26"/>
              </w:rPr>
              <w:t>14.3. Nghĩa vụ của Chủ đầu tư và Nhà thầu quy định tại Mục 14.1 E-ĐKC và Mục 14.2 E-ĐKC không áp dụng đối với các thông tin sau đây:</w:t>
            </w:r>
          </w:p>
          <w:p>
            <w:pPr>
              <w:spacing w:before="0" w:after="60"/>
              <w:jc w:val="left"/>
            </w:pPr>
            <w:r>
              <w:rPr>
                <w:rFonts w:ascii="Times New Roman" w:hAnsi="Times New Roman" w:eastAsia="Times New Roman" w:cs="Times New Roman"/>
                <w:b w:val="0"/>
                <w:i w:val="0"/>
                <w:caps w:val="0"/>
                <w:color w:val="000000"/>
                <w:sz w:val="26"/>
              </w:rPr>
              <w:t>a) Thông tin mà Chủ đầu tư hoặc Nhà thầu cần cung cấp cho cấp có thẩm quyền;</w:t>
            </w:r>
          </w:p>
          <w:p>
            <w:pPr>
              <w:spacing w:before="0" w:after="60"/>
              <w:jc w:val="left"/>
            </w:pPr>
            <w:r>
              <w:rPr>
                <w:rFonts w:ascii="Times New Roman" w:hAnsi="Times New Roman" w:eastAsia="Times New Roman" w:cs="Times New Roman"/>
                <w:b w:val="0"/>
                <w:i w:val="0"/>
                <w:caps w:val="0"/>
                <w:color w:val="000000"/>
                <w:sz w:val="26"/>
              </w:rPr>
              <w:t>b) Thông tin đã hoặc sẽ được công bố mà không phải do lỗi của Chủ đầu tư hoặc Nhà thầu;</w:t>
            </w:r>
          </w:p>
          <w:p>
            <w:pPr>
              <w:spacing w:before="0" w:after="60"/>
              <w:jc w:val="left"/>
            </w:pPr>
            <w:r>
              <w:rPr>
                <w:rFonts w:ascii="Times New Roman" w:hAnsi="Times New Roman" w:eastAsia="Times New Roman" w:cs="Times New Roman"/>
                <w:b w:val="0"/>
                <w:i w:val="0"/>
                <w:caps w:val="0"/>
                <w:color w:val="000000"/>
                <w:sz w:val="26"/>
              </w:rPr>
              <w:t>c) Thông tin thuộc sở hữu của một bên vào thời điểm công bố và trước đó không phải do bên kia cung cấp trực tiếp hoặc gián tiếp;</w:t>
            </w:r>
          </w:p>
          <w:p>
            <w:pPr>
              <w:spacing w:before="0" w:after="60"/>
              <w:jc w:val="left"/>
            </w:pPr>
            <w:r>
              <w:rPr>
                <w:rFonts w:ascii="Times New Roman" w:hAnsi="Times New Roman" w:eastAsia="Times New Roman" w:cs="Times New Roman"/>
                <w:b w:val="0"/>
                <w:i w:val="0"/>
                <w:caps w:val="0"/>
                <w:color w:val="000000"/>
                <w:sz w:val="26"/>
              </w:rPr>
              <w:t>d) Thông tin mà một bên nhận được một cách hợp pháp từ một bên thứ ba không có nghĩa vụ bảo mật thông tin.</w:t>
            </w:r>
          </w:p>
          <w:p>
            <w:pPr>
              <w:spacing w:before="0" w:after="60"/>
              <w:jc w:val="left"/>
            </w:pPr>
            <w:r>
              <w:rPr>
                <w:rFonts w:ascii="Times New Roman" w:hAnsi="Times New Roman" w:eastAsia="Times New Roman" w:cs="Times New Roman"/>
                <w:b w:val="0"/>
                <w:i w:val="0"/>
                <w:caps w:val="0"/>
                <w:color w:val="000000"/>
                <w:sz w:val="26"/>
              </w:rPr>
              <w:t>14.4. Các quy định tại Mục 14 E-ĐKC không làm thay đổi bất kỳ cam kết bảo mật nào do một bên đưa ra trước ngày ký hợp đồng liên quan đến việc cung cấp dịch vụ.</w:t>
            </w:r>
          </w:p>
          <w:p>
            <w:pPr>
              <w:spacing w:before="0" w:after="60"/>
              <w:jc w:val="left"/>
            </w:pPr>
            <w:r>
              <w:rPr>
                <w:rFonts w:ascii="Times New Roman" w:hAnsi="Times New Roman" w:eastAsia="Times New Roman" w:cs="Times New Roman"/>
                <w:b w:val="0"/>
                <w:i w:val="0"/>
                <w:caps w:val="0"/>
                <w:color w:val="000000"/>
                <w:sz w:val="26"/>
              </w:rPr>
              <w:t>14.5. Các quy định tại Mục 14 E-ĐKC tiếp tục có hiệu lực sau khi hoàn thành hoặc chấm dứt hợp đồng vì bất cứ lý do gì.</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15. Phạt và bồi thường thiệt hại</w:t>
            </w:r>
          </w:p>
        </w:tc>
        <w:tc>
          <w:tcPr>
            <w:tcW w:type="dxa" w:w="7300"/>
          </w:tcPr>
          <w:p>
            <w:pPr>
              <w:spacing w:before="0" w:after="60"/>
              <w:jc w:val="left"/>
            </w:pPr>
            <w:r>
              <w:rPr>
                <w:rFonts w:ascii="Times New Roman" w:hAnsi="Times New Roman" w:eastAsia="Times New Roman" w:cs="Times New Roman"/>
                <w:b w:val="0"/>
                <w:i w:val="0"/>
                <w:caps w:val="0"/>
                <w:color w:val="000000"/>
                <w:sz w:val="26"/>
              </w:rPr>
              <w:t>Phạt vi phạm hợp đồng và bồi thường thiệt hại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16. Bất khả kháng</w:t>
            </w:r>
          </w:p>
        </w:tc>
        <w:tc>
          <w:tcPr>
            <w:tcW w:type="dxa" w:w="7300"/>
          </w:tcPr>
          <w:p>
            <w:pPr>
              <w:spacing w:before="0" w:after="60"/>
              <w:jc w:val="left"/>
            </w:pPr>
            <w:r>
              <w:rPr>
                <w:rFonts w:ascii="Times New Roman" w:hAnsi="Times New Roman" w:eastAsia="Times New Roman" w:cs="Times New Roman"/>
                <w:b w:val="0"/>
                <w:i w:val="0"/>
                <w:caps w:val="0"/>
                <w:color w:val="000000"/>
                <w:sz w:val="26"/>
              </w:rPr>
              <w:t>16.1. 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pPr>
              <w:spacing w:before="0" w:after="60"/>
              <w:jc w:val="left"/>
            </w:pPr>
            <w:r>
              <w:rPr>
                <w:rFonts w:ascii="Times New Roman" w:hAnsi="Times New Roman" w:eastAsia="Times New Roman" w:cs="Times New Roman"/>
                <w:b w:val="0"/>
                <w:i w:val="0"/>
                <w:caps w:val="0"/>
                <w:color w:val="000000"/>
                <w:sz w:val="26"/>
              </w:rPr>
              <w:t>16.2.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pPr>
              <w:spacing w:before="0" w:after="60"/>
              <w:jc w:val="left"/>
            </w:pPr>
            <w:r>
              <w:rPr>
                <w:rFonts w:ascii="Times New Roman" w:hAnsi="Times New Roman" w:eastAsia="Times New Roman" w:cs="Times New Roman"/>
                <w:b w:val="0"/>
                <w:i w:val="0"/>
                <w:caps w:val="0"/>
                <w:color w:val="000000"/>
                <w:sz w:val="26"/>
              </w:rPr>
              <w:t>16.3.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w:t>
            </w:r>
          </w:p>
          <w:p>
            <w:pPr>
              <w:spacing w:before="0" w:after="60"/>
              <w:jc w:val="left"/>
            </w:pPr>
            <w:r>
              <w:rPr>
                <w:rFonts w:ascii="Times New Roman" w:hAnsi="Times New Roman" w:eastAsia="Times New Roman" w:cs="Times New Roman"/>
                <w:b w:val="0"/>
                <w:i w:val="0"/>
                <w:caps w:val="0"/>
                <w:color w:val="000000"/>
                <w:sz w:val="26"/>
              </w:rPr>
              <w:t>16.4. Khi xảy ra sự kiện bất khả kháng, bên bị ảnh hưởng bởi sự kiện bất khả kháng 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w:t>
            </w:r>
          </w:p>
          <w:p>
            <w:pPr>
              <w:spacing w:before="0" w:after="60"/>
              <w:jc w:val="left"/>
            </w:pPr>
            <w:r>
              <w:rPr>
                <w:rFonts w:ascii="Times New Roman" w:hAnsi="Times New Roman" w:eastAsia="Times New Roman" w:cs="Times New Roman"/>
                <w:b w:val="0"/>
                <w:i w:val="0"/>
                <w:caps w:val="0"/>
                <w:color w:val="000000"/>
                <w:sz w:val="26"/>
              </w:rPr>
              <w:t>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pPr>
              <w:spacing w:before="0" w:after="60"/>
              <w:jc w:val="left"/>
            </w:pPr>
            <w:r>
              <w:rPr>
                <w:rFonts w:ascii="Times New Roman" w:hAnsi="Times New Roman" w:eastAsia="Times New Roman" w:cs="Times New Roman"/>
                <w:b w:val="0"/>
                <w:i w:val="0"/>
                <w:caps w:val="0"/>
                <w:color w:val="000000"/>
                <w:sz w:val="26"/>
              </w:rPr>
              <w:t>16.5. Thời hạn mà một bên phải hoàn thành một công việc theo Hợp đồng này được gia hạn thêm một khoảng thời gian bằng đúng thời gian bên đó không thể thực hiện được công việc do sự kiện bất khả kháng gây ra.</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17. Sửa đổi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17.1 Việc sửa đổi hợp đồng có thể được thực hiện trong các trường hợp sau:</w:t>
            </w:r>
          </w:p>
          <w:p>
            <w:pPr>
              <w:spacing w:before="0" w:after="60"/>
              <w:jc w:val="left"/>
            </w:pPr>
            <w:r>
              <w:rPr>
                <w:rFonts w:ascii="Times New Roman" w:hAnsi="Times New Roman" w:eastAsia="Times New Roman" w:cs="Times New Roman"/>
                <w:b w:val="0"/>
                <w:i w:val="0"/>
                <w:caps w:val="0"/>
                <w:color w:val="000000"/>
                <w:sz w:val="26"/>
              </w:rPr>
              <w:t>a) Bổ sung hạng mục công việc cần thiết ngoài phạm vi công việc quy định trong hợp đồng;</w:t>
            </w:r>
          </w:p>
          <w:p>
            <w:pPr>
              <w:spacing w:before="0" w:after="60"/>
              <w:jc w:val="left"/>
            </w:pPr>
            <w:r>
              <w:rPr>
                <w:rFonts w:ascii="Times New Roman" w:hAnsi="Times New Roman" w:eastAsia="Times New Roman" w:cs="Times New Roman"/>
                <w:b w:val="0"/>
                <w:i w:val="0"/>
                <w:caps w:val="0"/>
                <w:color w:val="000000"/>
                <w:sz w:val="26"/>
              </w:rPr>
              <w:t>b) Thay đổi thời gian thực hiện hợp đồng;</w:t>
            </w:r>
          </w:p>
          <w:p>
            <w:pPr>
              <w:spacing w:before="0" w:after="60"/>
              <w:jc w:val="left"/>
            </w:pPr>
            <w:r>
              <w:rPr>
                <w:rFonts w:ascii="Times New Roman" w:hAnsi="Times New Roman" w:eastAsia="Times New Roman" w:cs="Times New Roman"/>
                <w:b w:val="0"/>
                <w:i w:val="0"/>
                <w:caps w:val="0"/>
                <w:color w:val="000000"/>
                <w:sz w:val="26"/>
              </w:rPr>
              <w:t>c) Các nội dung khác quy định tại E-ĐKCT.</w:t>
            </w:r>
          </w:p>
          <w:p>
            <w:pPr>
              <w:spacing w:before="0" w:after="60"/>
              <w:jc w:val="left"/>
            </w:pPr>
            <w:r>
              <w:rPr>
                <w:rFonts w:ascii="Times New Roman" w:hAnsi="Times New Roman" w:eastAsia="Times New Roman" w:cs="Times New Roman"/>
                <w:b w:val="0"/>
                <w:i w:val="0"/>
                <w:caps w:val="0"/>
                <w:color w:val="000000"/>
                <w:sz w:val="26"/>
              </w:rPr>
              <w:t>17.2. Chủ đầu tư và Nhà thầu sẽ tiến hành thương thảo để làm cơ sở ký kết văn bản sửa đổi hợp đồng trong trường hợp sửa đổi hợp đồng.</w:t>
            </w:r>
          </w:p>
          <w:p>
            <w:pPr>
              <w:spacing w:before="0" w:after="60"/>
              <w:jc w:val="left"/>
            </w:pPr>
            <w:r>
              <w:rPr>
                <w:rFonts w:ascii="Times New Roman" w:hAnsi="Times New Roman" w:eastAsia="Times New Roman" w:cs="Times New Roman"/>
                <w:b w:val="0"/>
                <w:i w:val="0"/>
                <w:caps w:val="0"/>
                <w:color w:val="000000"/>
                <w:sz w:val="26"/>
              </w:rPr>
              <w:t>17.3. Trong thời gian thực hiện hợp đồng, Nhà thầu có thể đề xuất giải pháp tiết kiệm chi phí bao gồm ít nhất các nội dung sau đây:</w:t>
            </w:r>
          </w:p>
          <w:p>
            <w:pPr>
              <w:spacing w:before="0" w:after="60"/>
              <w:jc w:val="left"/>
            </w:pPr>
            <w:r>
              <w:rPr>
                <w:rFonts w:ascii="Times New Roman" w:hAnsi="Times New Roman" w:eastAsia="Times New Roman" w:cs="Times New Roman"/>
                <w:b w:val="0"/>
                <w:i w:val="0"/>
                <w:caps w:val="0"/>
                <w:color w:val="000000"/>
                <w:sz w:val="26"/>
              </w:rPr>
              <w:t>a) Nội dung giải pháp, giải thích sự khác biệt so với các yêu cầu theo hợp đồng đã ký kết.</w:t>
            </w:r>
          </w:p>
          <w:p>
            <w:pPr>
              <w:spacing w:before="0" w:after="60"/>
              <w:jc w:val="left"/>
            </w:pPr>
            <w:r>
              <w:rPr>
                <w:rFonts w:ascii="Times New Roman" w:hAnsi="Times New Roman" w:eastAsia="Times New Roman" w:cs="Times New Roman"/>
                <w:b w:val="0"/>
                <w:i w:val="0"/>
                <w:caps w:val="0"/>
                <w:color w:val="000000"/>
                <w:sz w:val="26"/>
              </w:rPr>
              <w:t>b) Phân tích toàn diện chi phí và lợi ích của giải pháp bao gồm mô tả và ước tính các chi phí (bao gồm cả chi phí vòng đời, nếu có) có thể phát sinh cho Chủ đầu tư.</w:t>
            </w:r>
          </w:p>
          <w:p>
            <w:pPr>
              <w:spacing w:before="0" w:after="60"/>
              <w:jc w:val="left"/>
            </w:pPr>
            <w:r>
              <w:rPr>
                <w:rFonts w:ascii="Times New Roman" w:hAnsi="Times New Roman" w:eastAsia="Times New Roman" w:cs="Times New Roman"/>
                <w:b w:val="0"/>
                <w:i w:val="0"/>
                <w:caps w:val="0"/>
                <w:color w:val="000000"/>
                <w:sz w:val="26"/>
              </w:rPr>
              <w:t>c) Tác động của giải pháp đối với hiệu quả thực hiện hợp đồng.</w:t>
            </w:r>
          </w:p>
          <w:p>
            <w:pPr>
              <w:spacing w:before="0" w:after="60"/>
              <w:jc w:val="left"/>
            </w:pPr>
            <w:r>
              <w:rPr>
                <w:rFonts w:ascii="Times New Roman" w:hAnsi="Times New Roman" w:eastAsia="Times New Roman" w:cs="Times New Roman"/>
                <w:b w:val="0"/>
                <w:i w:val="0"/>
                <w:caps w:val="0"/>
                <w:color w:val="000000"/>
                <w:sz w:val="26"/>
              </w:rPr>
              <w:t>17.4. Chủ đầu tư có thể chấp thuận đề xuất của Nhà thầu nếu đề xuất này chứng minh được một trong các lợi ích dưới đây:</w:t>
            </w:r>
          </w:p>
          <w:p>
            <w:pPr>
              <w:spacing w:before="0" w:after="60"/>
              <w:jc w:val="left"/>
            </w:pPr>
            <w:r>
              <w:rPr>
                <w:rFonts w:ascii="Times New Roman" w:hAnsi="Times New Roman" w:eastAsia="Times New Roman" w:cs="Times New Roman"/>
                <w:b w:val="0"/>
                <w:i w:val="0"/>
                <w:caps w:val="0"/>
                <w:color w:val="000000"/>
                <w:sz w:val="26"/>
              </w:rPr>
              <w:t>a) Rút ngắn thời gian thực hiện dịch vụ;</w:t>
            </w:r>
          </w:p>
          <w:p>
            <w:pPr>
              <w:spacing w:before="0" w:after="60"/>
              <w:jc w:val="left"/>
            </w:pPr>
            <w:r>
              <w:rPr>
                <w:rFonts w:ascii="Times New Roman" w:hAnsi="Times New Roman" w:eastAsia="Times New Roman" w:cs="Times New Roman"/>
                <w:b w:val="0"/>
                <w:i w:val="0"/>
                <w:caps w:val="0"/>
                <w:color w:val="000000"/>
                <w:sz w:val="26"/>
              </w:rPr>
              <w:t>b) Giảm giá hợp đồng hoặc chi phí vòng đời cho Chủ đầu tư;</w:t>
            </w:r>
          </w:p>
          <w:p>
            <w:pPr>
              <w:spacing w:before="0" w:after="60"/>
              <w:jc w:val="left"/>
            </w:pPr>
            <w:r>
              <w:rPr>
                <w:rFonts w:ascii="Times New Roman" w:hAnsi="Times New Roman" w:eastAsia="Times New Roman" w:cs="Times New Roman"/>
                <w:b w:val="0"/>
                <w:i w:val="0"/>
                <w:caps w:val="0"/>
                <w:color w:val="000000"/>
                <w:sz w:val="26"/>
              </w:rPr>
              <w:t>c) Nâng cao chất lượng, hiệu quả, an toàn hoặc tính bền vững của dịch vụ;</w:t>
            </w:r>
          </w:p>
          <w:p>
            <w:pPr>
              <w:spacing w:before="0" w:after="60"/>
              <w:jc w:val="left"/>
            </w:pPr>
            <w:r>
              <w:rPr>
                <w:rFonts w:ascii="Times New Roman" w:hAnsi="Times New Roman" w:eastAsia="Times New Roman" w:cs="Times New Roman"/>
                <w:b w:val="0"/>
                <w:i w:val="0"/>
                <w:caps w:val="0"/>
                <w:color w:val="000000"/>
                <w:sz w:val="26"/>
              </w:rPr>
              <w:t>d) Bất kỳ lợi ích nào khác cho Chủ đầu tư.</w:t>
            </w:r>
          </w:p>
          <w:p>
            <w:pPr>
              <w:spacing w:before="0" w:after="60"/>
              <w:jc w:val="left"/>
            </w:pPr>
            <w:r>
              <w:rPr>
                <w:rFonts w:ascii="Times New Roman" w:hAnsi="Times New Roman" w:eastAsia="Times New Roman" w:cs="Times New Roman"/>
                <w:b w:val="0"/>
                <w:i w:val="0"/>
                <w:caps w:val="0"/>
                <w:color w:val="000000"/>
                <w:sz w:val="26"/>
              </w:rPr>
              <w:t>Trường hợp đề xuất của Nhà thầu được Chủ đầu tư chấp thuận và làm giảm giá hợp đồng, Chủ đầu tư thanh toán cho Nhà thầu theo tỷ lệ quy định tại E-ĐKCT đối với phần giá trị giảm giá hợp đồng.</w:t>
            </w:r>
          </w:p>
          <w:p>
            <w:pPr>
              <w:spacing w:before="0" w:after="60"/>
              <w:jc w:val="left"/>
            </w:pPr>
            <w:r>
              <w:rPr>
                <w:rFonts w:ascii="Times New Roman" w:hAnsi="Times New Roman" w:eastAsia="Times New Roman" w:cs="Times New Roman"/>
                <w:b w:val="0"/>
                <w:i w:val="0"/>
                <w:caps w:val="0"/>
                <w:color w:val="000000"/>
                <w:sz w:val="26"/>
              </w:rPr>
              <w:t>Trường hợp đề xuất của Nhà thầu được Chủ đầu tư chấp thuận và làm tăng giá hợp đồng nhưng giảm chi phí vòng đời do tác động của các yếu tố quy định tại các điểm a, b, c và d Mục này, Chủ đầu tư thanh toán cho Nhà thầu theo phần giá trị tăng giá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18. Điều chỉnh tiến độ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Trong quá trình thực hiện hợp đồng, các bên được điều chỉnh các mốc thời gian hoàn thành các nội dung quy định cụ thể trong hợp đồng trong các trường hợp sau đây:</w:t>
            </w:r>
          </w:p>
          <w:p>
            <w:pPr>
              <w:spacing w:before="0" w:after="60"/>
              <w:jc w:val="left"/>
            </w:pPr>
            <w:r>
              <w:rPr>
                <w:rFonts w:ascii="Times New Roman" w:hAnsi="Times New Roman" w:eastAsia="Times New Roman" w:cs="Times New Roman"/>
                <w:b w:val="0"/>
                <w:i w:val="0"/>
                <w:caps w:val="0"/>
                <w:color w:val="000000"/>
                <w:sz w:val="26"/>
              </w:rPr>
              <w:t>a) Trường hợp bất khả kháng hoặc phát sinh các điều kiện bất lợi, cản trở nhà thầu trong việc thực hiện hợp đồng và không liên quan đến vi phạm hoặc sơ suất của các bên tham gia hợp đồng;</w:t>
            </w:r>
          </w:p>
          <w:p>
            <w:pPr>
              <w:spacing w:before="0" w:after="60"/>
              <w:jc w:val="left"/>
            </w:pPr>
            <w:r>
              <w:rPr>
                <w:rFonts w:ascii="Times New Roman" w:hAnsi="Times New Roman" w:eastAsia="Times New Roman" w:cs="Times New Roman"/>
                <w:b w:val="0"/>
                <w:i w:val="0"/>
                <w:caps w:val="0"/>
                <w:color w:val="000000"/>
                <w:sz w:val="26"/>
              </w:rPr>
              <w:t>b) Thay đổi, điều chỉnh dự án, phạm vi công việc, phạm vi cung cấp, thiết kế, giải pháp thi công chủ đạo, biện pháp cung cấp do yêu cầu khách quan làm ảnh hưởng đến tiến độ hợp đồng;</w:t>
            </w:r>
          </w:p>
          <w:p>
            <w:pPr>
              <w:spacing w:before="0" w:after="60"/>
              <w:jc w:val="left"/>
            </w:pPr>
            <w:r>
              <w:rPr>
                <w:rFonts w:ascii="Times New Roman" w:hAnsi="Times New Roman" w:eastAsia="Times New Roman" w:cs="Times New Roman"/>
                <w:b w:val="0"/>
                <w:i w:val="0"/>
                <w:caps w:val="0"/>
                <w:color w:val="000000"/>
                <w:sz w:val="26"/>
              </w:rPr>
              <w:t>c) Một hoặc các bên đề xuất sáng kiến, cải tiến thực hiện hợp đồng mà cần thay đổi tiến độ nhằm mục đích mang lại lợi ích cao hơn cho Chủ đầu tư;</w:t>
            </w:r>
          </w:p>
          <w:p>
            <w:pPr>
              <w:spacing w:before="0" w:after="60"/>
              <w:jc w:val="left"/>
            </w:pPr>
            <w:r>
              <w:rPr>
                <w:rFonts w:ascii="Times New Roman" w:hAnsi="Times New Roman" w:eastAsia="Times New Roman" w:cs="Times New Roman"/>
                <w:b w:val="0"/>
                <w:i w:val="0"/>
                <w:caps w:val="0"/>
                <w:color w:val="000000"/>
                <w:sz w:val="26"/>
              </w:rPr>
              <w:t>d) Việc bàn giao mặt bằng không đúng với thỏa thuận trong hợp đồng, tạm dừng hợp đồng do lỗi của Chủ đầu tư ảnh hưởng đến tiến độ hợp đồng mà không do lỗi của nhà thầu;</w:t>
            </w:r>
          </w:p>
          <w:p>
            <w:pPr>
              <w:spacing w:before="0" w:after="60"/>
              <w:jc w:val="left"/>
            </w:pPr>
            <w:r>
              <w:rPr>
                <w:rFonts w:ascii="Times New Roman" w:hAnsi="Times New Roman" w:eastAsia="Times New Roman" w:cs="Times New Roman"/>
                <w:b w:val="0"/>
                <w:i w:val="0"/>
                <w:caps w:val="0"/>
                <w:color w:val="000000"/>
                <w:sz w:val="26"/>
              </w:rPr>
              <w:t>đ) Tạm dừng thực hiện công việc theo yêu cầu của cơ quan nhà nước có thẩm quyền mà không do lỗi của Chủ đầu tư, nhà thầu;</w:t>
            </w:r>
          </w:p>
          <w:p>
            <w:pPr>
              <w:spacing w:before="0" w:after="60"/>
              <w:jc w:val="left"/>
            </w:pPr>
            <w:r>
              <w:rPr>
                <w:rFonts w:ascii="Times New Roman" w:hAnsi="Times New Roman" w:eastAsia="Times New Roman" w:cs="Times New Roman"/>
                <w:b w:val="0"/>
                <w:i w:val="0"/>
                <w:caps w:val="0"/>
                <w:color w:val="000000"/>
                <w:sz w:val="26"/>
              </w:rPr>
              <w:t>e) Các trường hợp khác quy định tại E-ĐKCT.</w:t>
            </w:r>
          </w:p>
          <w:p>
            <w:pPr>
              <w:spacing w:before="0" w:after="60"/>
              <w:jc w:val="left"/>
            </w:pPr>
            <w:r>
              <w:rPr>
                <w:rFonts w:ascii="Times New Roman" w:hAnsi="Times New Roman" w:eastAsia="Times New Roman" w:cs="Times New Roman"/>
                <w:b w:val="0"/>
                <w:i w:val="0"/>
                <w:caps w:val="0"/>
                <w:color w:val="000000"/>
                <w:sz w:val="26"/>
              </w:rPr>
              <w:t>Khi điều chỉnh các mốc thời gian hoàn thành mà không vượt thời gian thực hiện hợp đồng thì Chủ đầu tư và nhà thầu thỏa thuận, thống nhất việc điều chỉnh; trường hợp vượt thì Chủ đầu tư và nhà thầu chỉ được thỏa thuận, thống nhất việc điều chỉnh sau khi được người có thẩm quyền cho phép.</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19. Chấm dứt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19.1. Chấm dứt hợp đồng do sai phạm</w:t>
            </w:r>
          </w:p>
          <w:p>
            <w:pPr>
              <w:spacing w:before="0" w:after="60"/>
              <w:jc w:val="left"/>
            </w:pPr>
            <w:r>
              <w:rPr>
                <w:rFonts w:ascii="Times New Roman" w:hAnsi="Times New Roman" w:eastAsia="Times New Roman" w:cs="Times New Roman"/>
                <w:b w:val="0"/>
                <w:i w:val="0"/>
                <w:caps w:val="0"/>
                <w:color w:val="000000"/>
                <w:sz w:val="26"/>
              </w:rPr>
              <w:t>a) Chủ đầu tư có thể chấm dứt một phần hoặc toàn bộ hợp đồng mà không gây tổn hại đến các biện pháp khắc phục vi phạm hợp đồng khác bằng cách thông báo bằng văn bản cho Nhà thầu về sai phạm trong hợp đồng trong các trường hợp sau:</w:t>
            </w:r>
          </w:p>
          <w:p>
            <w:pPr>
              <w:spacing w:before="0" w:after="60"/>
              <w:jc w:val="left"/>
            </w:pPr>
            <w:r>
              <w:rPr>
                <w:rFonts w:ascii="Times New Roman" w:hAnsi="Times New Roman" w:eastAsia="Times New Roman" w:cs="Times New Roman"/>
                <w:b w:val="0"/>
                <w:i w:val="0"/>
                <w:caps w:val="0"/>
                <w:color w:val="000000"/>
                <w:sz w:val="26"/>
              </w:rPr>
              <w:t>(i) Nhà thầu không thực hiện một phần hoặc toàn bộ nội dung công việc theo hợp đồng trong thời hạn đã nêu trong hợp đồng hoặc trong khoảng thời gian đã được Chủ đầu tư gia hạn;</w:t>
            </w:r>
          </w:p>
          <w:p>
            <w:pPr>
              <w:spacing w:before="0" w:after="60"/>
              <w:jc w:val="left"/>
            </w:pPr>
            <w:r>
              <w:rPr>
                <w:rFonts w:ascii="Times New Roman" w:hAnsi="Times New Roman" w:eastAsia="Times New Roman" w:cs="Times New Roman"/>
                <w:b w:val="0"/>
                <w:i w:val="0"/>
                <w:caps w:val="0"/>
                <w:color w:val="000000"/>
                <w:sz w:val="26"/>
              </w:rPr>
              <w:t>(ii) Nhà thầu không thực hiện bất kỳ nghĩa vụ nào khác theo hợp đồng;</w:t>
            </w:r>
          </w:p>
          <w:p>
            <w:pPr>
              <w:spacing w:before="0" w:after="60"/>
              <w:jc w:val="left"/>
            </w:pPr>
            <w:r>
              <w:rPr>
                <w:rFonts w:ascii="Times New Roman" w:hAnsi="Times New Roman" w:eastAsia="Times New Roman" w:cs="Times New Roman"/>
                <w:b w:val="0"/>
                <w:i w:val="0"/>
                <w:caps w:val="0"/>
                <w:color w:val="000000"/>
                <w:sz w:val="26"/>
              </w:rPr>
              <w:t>(iii) Nhà thầu bị mất khả năng thanh toán hoặc phá sản;</w:t>
            </w:r>
          </w:p>
          <w:p>
            <w:pPr>
              <w:spacing w:before="0" w:after="60"/>
              <w:jc w:val="left"/>
            </w:pPr>
            <w:r>
              <w:rPr>
                <w:rFonts w:ascii="Times New Roman" w:hAnsi="Times New Roman" w:eastAsia="Times New Roman" w:cs="Times New Roman"/>
                <w:b w:val="0"/>
                <w:i w:val="0"/>
                <w:caps w:val="0"/>
                <w:color w:val="000000"/>
                <w:sz w:val="26"/>
              </w:rPr>
              <w:t>(iv) Có bằng chứng cho thấy Nhà thầu đã vi phạm một trong các hành vi bị cấm quy định tại Điều 16 của Luật Đấu thầu trong quá trình đấu thầu hoặc thực hiện Hợp đồng.</w:t>
            </w:r>
          </w:p>
          <w:p>
            <w:pPr>
              <w:spacing w:before="0" w:after="60"/>
              <w:jc w:val="left"/>
            </w:pPr>
            <w:r>
              <w:rPr>
                <w:rFonts w:ascii="Times New Roman" w:hAnsi="Times New Roman" w:eastAsia="Times New Roman" w:cs="Times New Roman"/>
                <w:b w:val="0"/>
                <w:i w:val="0"/>
                <w:caps w:val="0"/>
                <w:color w:val="000000"/>
                <w:sz w:val="26"/>
              </w:rPr>
              <w:t>b) Trong trường hợp Chủ đầu tư chấm dứt việc thực hiện một phần hay toàn bộ hợp đồng theo điểm a Mục 19.1 E-ĐKC,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 Tuy nhiên, Nhà thầu vẫn phải tiếp tục thực hiện phần hợp đồng không bị chấm dứt và chịu trách nhiệm đối với phần hợp đồng do mình thực hiện.</w:t>
            </w:r>
          </w:p>
          <w:p>
            <w:pPr>
              <w:spacing w:before="0" w:after="60"/>
              <w:jc w:val="left"/>
            </w:pPr>
            <w:r>
              <w:rPr>
                <w:rFonts w:ascii="Times New Roman" w:hAnsi="Times New Roman" w:eastAsia="Times New Roman" w:cs="Times New Roman"/>
                <w:b w:val="0"/>
                <w:i w:val="0"/>
                <w:caps w:val="0"/>
                <w:color w:val="000000"/>
                <w:sz w:val="26"/>
              </w:rPr>
              <w:t>c) Nhà thầu có thể chấm dứt hợp đồng bằng cách gửi văn bản thông báo cho Chủ đầu tư trong vòng ba mươi (30) ngày trong các trường hợp sau đây:</w:t>
            </w:r>
          </w:p>
          <w:p>
            <w:pPr>
              <w:spacing w:before="0" w:after="60"/>
              <w:jc w:val="left"/>
            </w:pPr>
            <w:r>
              <w:rPr>
                <w:rFonts w:ascii="Times New Roman" w:hAnsi="Times New Roman" w:eastAsia="Times New Roman" w:cs="Times New Roman"/>
                <w:b w:val="0"/>
                <w:i w:val="0"/>
                <w:caps w:val="0"/>
                <w:color w:val="000000"/>
                <w:sz w:val="26"/>
              </w:rPr>
              <w:t>- Nếu Chủ đầu tư không thanh toán bất kỳ khoản tiền nào phải trả cho Nhà thầu theo Hợp đồng và không có tranh chấp theo Mục 22 E-ĐKC về việc này trong vòng sáu mươi (60) ngày sau khi nhận được thông báo bằng văn bản của Nhà thầu về việc quá hạn thanh toán;</w:t>
            </w:r>
          </w:p>
          <w:p>
            <w:pPr>
              <w:spacing w:before="0" w:after="60"/>
              <w:jc w:val="left"/>
            </w:pPr>
            <w:r>
              <w:rPr>
                <w:rFonts w:ascii="Times New Roman" w:hAnsi="Times New Roman" w:eastAsia="Times New Roman" w:cs="Times New Roman"/>
                <w:b w:val="0"/>
                <w:i w:val="0"/>
                <w:caps w:val="0"/>
                <w:color w:val="000000"/>
                <w:sz w:val="26"/>
              </w:rPr>
              <w:t>- Nếu vì lý do bất khả kháng, trong thời gian không dưới sáu mươi (60) ngày, nhà thầu không thể thực hiện được hợp đồng.</w:t>
            </w:r>
          </w:p>
          <w:p>
            <w:pPr>
              <w:spacing w:before="0" w:after="60"/>
              <w:jc w:val="left"/>
            </w:pPr>
            <w:r>
              <w:rPr>
                <w:rFonts w:ascii="Times New Roman" w:hAnsi="Times New Roman" w:eastAsia="Times New Roman" w:cs="Times New Roman"/>
                <w:b w:val="0"/>
                <w:i w:val="0"/>
                <w:caps w:val="0"/>
                <w:color w:val="000000"/>
                <w:sz w:val="26"/>
              </w:rPr>
              <w:t>19.2. Chấm dứt hợp đồng do mất khả năng thanh toán</w:t>
            </w:r>
          </w:p>
          <w:p>
            <w:pPr>
              <w:spacing w:before="0" w:after="60"/>
              <w:jc w:val="left"/>
            </w:pPr>
            <w:r>
              <w:rPr>
                <w:rFonts w:ascii="Times New Roman" w:hAnsi="Times New Roman" w:eastAsia="Times New Roman" w:cs="Times New Roman"/>
                <w:b w:val="0"/>
                <w:i w:val="0"/>
                <w:caps w:val="0"/>
                <w:color w:val="000000"/>
                <w:sz w:val="26"/>
              </w:rPr>
              <w:t>Trường hợp Nhà thầu phá sản hoặc mất khả năng thanh toán, Chủ đầu tư có thể chấm dứt hợp đồng vào bất kỳ thời điểm nào bằng cách gửi thông báo cho Nhà thầu. Trong trường hợp đó, hợp đồng sẽ chấm dứt và Nhà thầu không được bồi thường với điều kiện là việc chấm dứt hợp đồng không gây tổn hại hoặc ảnh hưởng đến bất kỳ quyền khởi kiện hoặc biện pháp khắc phục của Chủ đầu tư trước đó hoặc sau đó.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20. Phát hiện và khắc phục sai sót</w:t>
            </w:r>
          </w:p>
        </w:tc>
        <w:tc>
          <w:tcPr>
            <w:tcW w:type="dxa" w:w="7300"/>
          </w:tcPr>
          <w:p>
            <w:pPr>
              <w:spacing w:before="0" w:after="60"/>
              <w:jc w:val="left"/>
            </w:pPr>
            <w:r>
              <w:rPr>
                <w:rFonts w:ascii="Times New Roman" w:hAnsi="Times New Roman" w:eastAsia="Times New Roman" w:cs="Times New Roman"/>
                <w:b w:val="0"/>
                <w:i w:val="0"/>
                <w:caps w:val="0"/>
                <w:color w:val="000000"/>
                <w:sz w:val="26"/>
              </w:rPr>
              <w:t>20.1. Chủ đầu tư thực hiện đánh giá chất lượng dịch vụ phi tư vấn theo nguyên tắc và cách thức như quy định tại E-ĐKCT. Chủ đầu tư có thể hướng dẫn Nhà thầu tự đánh giá và phát hiện sai sót, kiểm tra nội dung công việc mà Chủ đầu tư cho rằng có thể có sai sót. Thời hạn trách nhiệm đối với sai sót được quy định tại E-ĐKCT.</w:t>
            </w:r>
          </w:p>
          <w:p>
            <w:pPr>
              <w:spacing w:before="0" w:after="60"/>
              <w:jc w:val="left"/>
            </w:pPr>
            <w:r>
              <w:rPr>
                <w:rFonts w:ascii="Times New Roman" w:hAnsi="Times New Roman" w:eastAsia="Times New Roman" w:cs="Times New Roman"/>
                <w:b w:val="0"/>
                <w:i w:val="0"/>
                <w:caps w:val="0"/>
                <w:color w:val="000000"/>
                <w:sz w:val="26"/>
              </w:rPr>
              <w:t>20.2. Trường hợp phát sinh sai sót trong quá trình Nhà thầu cung cấp dịch vụ phi tư vấn, trước khi kết thúc hợp đồng, Chủ đầu tư thông báo cho Nhà thầu về các sai sót cần khắc phục.</w:t>
            </w:r>
          </w:p>
          <w:p>
            <w:pPr>
              <w:spacing w:before="0" w:after="60"/>
              <w:jc w:val="left"/>
            </w:pPr>
            <w:r>
              <w:rPr>
                <w:rFonts w:ascii="Times New Roman" w:hAnsi="Times New Roman" w:eastAsia="Times New Roman" w:cs="Times New Roman"/>
                <w:b w:val="0"/>
                <w:i w:val="0"/>
                <w:caps w:val="0"/>
                <w:color w:val="000000"/>
                <w:sz w:val="26"/>
              </w:rPr>
              <w:t>Khi nhận được thông báo của Chủ đầu tư, Nhà thầu có trách nhiệm kịp thời khắc phục sai sót trong khoảng thời gian hợp lý mà Chủ đầu tư quy định trong thông báo. Trường hợp Nhà thầu không khắc phục xong sai sót trong khoảng thời gian cho phép, Chủ đầu tư sẽ đánh giá chi phí cần thiết để khắc phục sai sót và yêu cầu Nhà thầu thanh toán, đồng thời phạt thực hiện hợp đồng đối với Nhà thầu như quy định tại Mục 15 E-ĐKC.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21. Nhân sự</w:t>
            </w:r>
          </w:p>
        </w:tc>
        <w:tc>
          <w:tcPr>
            <w:tcW w:type="dxa" w:w="7300"/>
          </w:tcPr>
          <w:p>
            <w:pPr>
              <w:spacing w:before="0" w:after="60"/>
              <w:jc w:val="left"/>
            </w:pPr>
            <w:r>
              <w:rPr>
                <w:rFonts w:ascii="Times New Roman" w:hAnsi="Times New Roman" w:eastAsia="Times New Roman" w:cs="Times New Roman"/>
                <w:b w:val="0"/>
                <w:i w:val="0"/>
                <w:caps w:val="0"/>
                <w:color w:val="000000"/>
                <w:sz w:val="26"/>
              </w:rPr>
              <w:t>21.1. Nhà thầu phải huy động tất cả nhân sự như đã đề xuất trong E-HSDT để thực hiện các nội dung công việc trừ trường hợp Chủ đầu tư có thỏa thuận khác. Trường hợp cần thiết phải thay đổi nhân sự thì Nhà thầu phải báo cáo và được sự chấp thuận của Chủ đầu tư. Nhân sự thay thế phải có năng lực, kinh nghiệm tương đương hoặc tốt hơn so với nhân sự đã đề xuất trước đó.</w:t>
            </w:r>
          </w:p>
          <w:p>
            <w:pPr>
              <w:spacing w:before="0" w:after="60"/>
              <w:jc w:val="left"/>
            </w:pPr>
            <w:r>
              <w:rPr>
                <w:rFonts w:ascii="Times New Roman" w:hAnsi="Times New Roman" w:eastAsia="Times New Roman" w:cs="Times New Roman"/>
                <w:b w:val="0"/>
                <w:i w:val="0"/>
                <w:caps w:val="0"/>
                <w:color w:val="000000"/>
                <w:sz w:val="26"/>
              </w:rPr>
              <w:t>21.2. Trường hợp nhân sự mất năng lực hành vi dân sự hoặc không hoàn thành tốt công việc của mình thì Chủ đầu tư có văn bản yêu cầu thay thế. Khi nhận được văn bản yêu cầu thay thế nhân sự của Chủ đầu tư, trong thời gian quy định tại E-ĐKCT, Nhà thầu phải thực hiện thay thế nhân sự có năng lực và kinh nghiệm tương đương hoặc tốt hơn. Trừ trường hợp có thỏa thuận khác, mọi chi phí phát sinh do thay đổi nhân sự do Nhà thầu chịu.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22. Giải quyết tranh chấp</w:t>
            </w:r>
          </w:p>
        </w:tc>
        <w:tc>
          <w:tcPr>
            <w:tcW w:type="dxa" w:w="7300"/>
          </w:tcPr>
          <w:p>
            <w:pPr>
              <w:spacing w:before="0" w:after="60"/>
              <w:jc w:val="left"/>
            </w:pPr>
            <w:r>
              <w:rPr>
                <w:rFonts w:ascii="Times New Roman" w:hAnsi="Times New Roman" w:eastAsia="Times New Roman" w:cs="Times New Roman"/>
                <w:b w:val="0"/>
                <w:i w:val="0"/>
                <w:caps w:val="0"/>
                <w:color w:val="000000"/>
                <w:sz w:val="26"/>
              </w:rPr>
              <w:t>22.1. Chủ đầu tư và Nhà thầu có trách nhiệm giải quyết các tranh chấp phát sinh giữa hai bên thông qua thương lượng, hòa giải.</w:t>
            </w:r>
          </w:p>
          <w:p>
            <w:pPr>
              <w:spacing w:before="0" w:after="60"/>
              <w:jc w:val="left"/>
            </w:pPr>
            <w:r>
              <w:rPr>
                <w:rFonts w:ascii="Times New Roman" w:hAnsi="Times New Roman" w:eastAsia="Times New Roman" w:cs="Times New Roman"/>
                <w:b w:val="0"/>
                <w:i w:val="0"/>
                <w:caps w:val="0"/>
                <w:color w:val="000000"/>
                <w:sz w:val="26"/>
              </w:rPr>
              <w:t>22.2. Nếu tranh chấp không thể giải quyết được bằng thương lượng, hòa giải trong thời gian quy định quy định tại E-ĐKCT kể từ ngày phát sinh tranh chấp thì bất kỳ bên nào cũng đều có thể yêu cầu đưa việc tranh chấp ra giải quyết theo cơ chế được quy định tại E-ĐKCT.</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VII. Điều kiện cụ thể của hợp đồng</w:t>
      </w:r>
    </w:p>
    <w:p>
      <w:pPr>
        <w:spacing w:before="0" w:after="100" w:line="300" w:lineRule="auto"/>
        <w:jc w:val="both"/>
      </w:pPr>
      <w:r>
        <w:rPr>
          <w:rFonts w:ascii="Times New Roman" w:hAnsi="Times New Roman" w:eastAsia="Times New Roman" w:cs="Times New Roman"/>
          <w:b w:val="0"/>
          <w:i w:val="0"/>
          <w:caps w:val="0"/>
          <w:color w:val="000000"/>
          <w:sz w:val="26"/>
        </w:rPr>
        <w:t>Các nội dung dưới đây được nhập vào webform E-ĐKCT trên Hệ thống, chi tiết hóa và bổ sung nhưng không thay thế điều kiện chung của hợp đồng.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100"/>
        <w:gridCol w:w="7500"/>
      </w:tblGrid>
      <w:tr>
        <w:tc>
          <w:tcPr>
            <w:tcW w:type="dxa" w:w="2100"/>
          </w:tcPr>
          <w:p>
            <w:pPr>
              <w:spacing w:before="0" w:after="60"/>
              <w:jc w:val="left"/>
            </w:pPr>
            <w:r>
              <w:rPr>
                <w:rFonts w:ascii="Times New Roman" w:hAnsi="Times New Roman" w:eastAsia="Times New Roman" w:cs="Times New Roman"/>
                <w:b w:val="0"/>
                <w:i w:val="0"/>
                <w:caps w:val="0"/>
                <w:color w:val="000000"/>
                <w:sz w:val="26"/>
              </w:rPr>
              <w:t>E-ĐKC 1.3</w:t>
            </w:r>
          </w:p>
        </w:tc>
        <w:tc>
          <w:tcPr>
            <w:tcW w:type="dxa" w:w="7500"/>
          </w:tcPr>
          <w:p>
            <w:pPr>
              <w:spacing w:before="0" w:after="60"/>
              <w:jc w:val="left"/>
            </w:pPr>
            <w:r>
              <w:rPr>
                <w:rFonts w:ascii="Times New Roman" w:hAnsi="Times New Roman" w:eastAsia="Times New Roman" w:cs="Times New Roman"/>
                <w:b w:val="0"/>
                <w:i w:val="0"/>
                <w:caps w:val="0"/>
                <w:color w:val="000000"/>
                <w:sz w:val="26"/>
              </w:rPr>
              <w:t>Chủ đầu tư: Công ty Cổ phần ABC Wear. Địa chỉ: Số 10 phố Giả Định, phường Cầu Giấy, thành phố Hà Nội. Số tài khoản: 0000001010 tại Ngân hàng giả định, chi nhánh Hà Nội. Mã số thuế: 0000001010. Điện thoại: 024 0000 1010. Fax: 024 0000 1011. E-mail: yamada@abc.com. Đại diện: Tổng Giám đốc.</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1.5</w:t>
            </w:r>
          </w:p>
        </w:tc>
        <w:tc>
          <w:tcPr>
            <w:tcW w:type="dxa" w:w="7500"/>
          </w:tcPr>
          <w:p>
            <w:pPr>
              <w:spacing w:before="0" w:after="60"/>
              <w:jc w:val="left"/>
            </w:pPr>
            <w:r>
              <w:rPr>
                <w:rFonts w:ascii="Times New Roman" w:hAnsi="Times New Roman" w:eastAsia="Times New Roman" w:cs="Times New Roman"/>
                <w:b w:val="0"/>
                <w:i w:val="0"/>
                <w:caps w:val="0"/>
                <w:color w:val="000000"/>
                <w:sz w:val="26"/>
              </w:rPr>
              <w:t>Địa điểm cung cấp dịch vụ là: trụ sở chính Công ty Cổ phần ABC Wear, Số 10 phố Giả Định, phường Cầu Giấy, thành phố Hà Nội, nơi bàn giao sản phẩm, tích hợp với Main System, kiểm thử vận hành, chuyển giao và đưa hệ thống vào vận hành.</w:t>
            </w:r>
          </w:p>
          <w:p>
            <w:pPr>
              <w:spacing w:before="0" w:after="60"/>
              <w:jc w:val="left"/>
            </w:pPr>
            <w:r>
              <w:rPr>
                <w:rFonts w:ascii="Times New Roman" w:hAnsi="Times New Roman" w:eastAsia="Times New Roman" w:cs="Times New Roman"/>
                <w:b w:val="0"/>
                <w:i w:val="0"/>
                <w:caps w:val="0"/>
                <w:color w:val="000000"/>
                <w:sz w:val="26"/>
              </w:rPr>
              <w:t>Các công việc phân tích, thiết kế và xây dựng phần mềm được thực hiện tại nơi làm việc của nhà thầu hoặc tại trụ sở chính nêu trên theo kế hoạch được hai bên thống nhất.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1.11</w:t>
            </w:r>
          </w:p>
        </w:tc>
        <w:tc>
          <w:tcPr>
            <w:tcW w:type="dxa" w:w="7500"/>
          </w:tcPr>
          <w:p>
            <w:pPr>
              <w:spacing w:before="0" w:after="60"/>
              <w:jc w:val="left"/>
            </w:pPr>
            <w:r>
              <w:rPr>
                <w:rFonts w:ascii="Times New Roman" w:hAnsi="Times New Roman" w:eastAsia="Times New Roman" w:cs="Times New Roman"/>
                <w:b w:val="0"/>
                <w:i w:val="0"/>
                <w:caps w:val="0"/>
                <w:color w:val="000000"/>
                <w:sz w:val="26"/>
              </w:rPr>
              <w:t>Nhà thầu: nhà thầu trúng thầu. Tên, địa chỉ, số tài khoản, mã số thuế được ghi khi hoàn thiện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2.2 (i)</w:t>
            </w:r>
          </w:p>
        </w:tc>
        <w:tc>
          <w:tcPr>
            <w:tcW w:type="dxa" w:w="7500"/>
          </w:tcPr>
          <w:p>
            <w:pPr>
              <w:spacing w:before="0" w:after="60"/>
              <w:jc w:val="left"/>
            </w:pPr>
            <w:r>
              <w:rPr>
                <w:rFonts w:ascii="Times New Roman" w:hAnsi="Times New Roman" w:eastAsia="Times New Roman" w:cs="Times New Roman"/>
                <w:b w:val="0"/>
                <w:i w:val="0"/>
                <w:caps w:val="0"/>
                <w:color w:val="000000"/>
                <w:sz w:val="26"/>
              </w:rPr>
              <w:t>Các tài liệu sau đây cũng là một phần của Hợp đồng:</w:t>
            </w:r>
          </w:p>
          <w:p>
            <w:pPr>
              <w:spacing w:before="0" w:after="60"/>
              <w:jc w:val="left"/>
            </w:pPr>
            <w:r>
              <w:rPr>
                <w:rFonts w:ascii="Times New Roman" w:hAnsi="Times New Roman" w:eastAsia="Times New Roman" w:cs="Times New Roman"/>
                <w:b w:val="0"/>
                <w:i w:val="0"/>
                <w:caps w:val="0"/>
                <w:color w:val="000000"/>
                <w:sz w:val="26"/>
              </w:rPr>
              <w:t>- Biên bản xác nhận đặc tả yêu cầu giữa Chủ đầu tư và nhà thầu, gồm điều kiện đo các yêu cầu phi chức năng theo mục 3.5 Chương V.</w:t>
            </w:r>
          </w:p>
          <w:p>
            <w:pPr>
              <w:spacing w:before="0" w:after="60"/>
              <w:jc w:val="left"/>
            </w:pPr>
            <w:r>
              <w:rPr>
                <w:rFonts w:ascii="Times New Roman" w:hAnsi="Times New Roman" w:eastAsia="Times New Roman" w:cs="Times New Roman"/>
                <w:b w:val="0"/>
                <w:i w:val="0"/>
                <w:caps w:val="0"/>
                <w:color w:val="000000"/>
                <w:sz w:val="26"/>
              </w:rPr>
              <w:t>- Các văn bản thống nhất thay đổi đặc tả theo Mục 17.1(c) E-ĐKCT.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4.1</w:t>
            </w:r>
          </w:p>
        </w:tc>
        <w:tc>
          <w:tcPr>
            <w:tcW w:type="dxa" w:w="7500"/>
          </w:tcPr>
          <w:p>
            <w:pPr>
              <w:spacing w:before="0" w:after="60"/>
              <w:jc w:val="left"/>
            </w:pPr>
            <w:r>
              <w:rPr>
                <w:rFonts w:ascii="Times New Roman" w:hAnsi="Times New Roman" w:eastAsia="Times New Roman" w:cs="Times New Roman"/>
                <w:b w:val="0"/>
                <w:i w:val="0"/>
                <w:caps w:val="0"/>
                <w:color w:val="000000"/>
                <w:sz w:val="26"/>
              </w:rPr>
              <w:t>Các thông báo gửi về Chủ đầu tư theo địa chỉ dưới đây. Người nhận: Yamada, Phòng Kế hoạch. Địa chỉ: Số 10 phố Giả Định, phường Cầu Giấy, thành phố Hà Nội. Điện thoại: +84 24 0000 1010. Fax: +84 24 0000 1011. Địa chỉ email: yamada@abc.com.</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5.2</w:t>
            </w:r>
          </w:p>
        </w:tc>
        <w:tc>
          <w:tcPr>
            <w:tcW w:type="dxa" w:w="7500"/>
          </w:tcPr>
          <w:p>
            <w:pPr>
              <w:spacing w:before="0" w:after="60"/>
              <w:jc w:val="left"/>
            </w:pPr>
            <w:r>
              <w:rPr>
                <w:rFonts w:ascii="Times New Roman" w:hAnsi="Times New Roman" w:eastAsia="Times New Roman" w:cs="Times New Roman"/>
                <w:b w:val="0"/>
                <w:i w:val="0"/>
                <w:caps w:val="0"/>
                <w:color w:val="000000"/>
                <w:sz w:val="26"/>
              </w:rPr>
              <w:t>- Giá trị bảo đảm thực hiện hợp đồng: 3% giá hợp đồng.</w:t>
            </w:r>
          </w:p>
          <w:p>
            <w:pPr>
              <w:spacing w:before="0" w:after="60"/>
              <w:jc w:val="left"/>
            </w:pPr>
            <w:r>
              <w:rPr>
                <w:rFonts w:ascii="Times New Roman" w:hAnsi="Times New Roman" w:eastAsia="Times New Roman" w:cs="Times New Roman"/>
                <w:b w:val="0"/>
                <w:i w:val="0"/>
                <w:caps w:val="0"/>
                <w:color w:val="000000"/>
                <w:sz w:val="26"/>
              </w:rPr>
              <w:t>- Hiệu lực của bảo đảm thực hiện hợp đồng: kể từ ngày hợp đồng có hiệu lực cho đến hết ngày 31 tháng 07 năm 2027.</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5.4</w:t>
            </w:r>
          </w:p>
        </w:tc>
        <w:tc>
          <w:tcPr>
            <w:tcW w:type="dxa" w:w="7500"/>
          </w:tcPr>
          <w:p>
            <w:pPr>
              <w:spacing w:before="0" w:after="60"/>
              <w:jc w:val="left"/>
            </w:pPr>
            <w:r>
              <w:rPr>
                <w:rFonts w:ascii="Times New Roman" w:hAnsi="Times New Roman" w:eastAsia="Times New Roman" w:cs="Times New Roman"/>
                <w:b w:val="0"/>
                <w:i w:val="0"/>
                <w:caps w:val="0"/>
                <w:color w:val="000000"/>
                <w:sz w:val="26"/>
              </w:rPr>
              <w:t>Thời hạn hoàn trả bảo đảm thực hiện hợp đồng: trong vòng 14 ngày kể từ ngày nhà thầu hoàn thành các nghĩa vụ hợp đồng, sau khi hệ thống được nghiệm thu và đưa vào vận hành.</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6.1</w:t>
            </w:r>
          </w:p>
        </w:tc>
        <w:tc>
          <w:tcPr>
            <w:tcW w:type="dxa" w:w="7500"/>
          </w:tcPr>
          <w:p>
            <w:pPr>
              <w:spacing w:before="0" w:after="60"/>
              <w:jc w:val="left"/>
            </w:pPr>
            <w:r>
              <w:rPr>
                <w:rFonts w:ascii="Times New Roman" w:hAnsi="Times New Roman" w:eastAsia="Times New Roman" w:cs="Times New Roman"/>
                <w:b w:val="0"/>
                <w:i w:val="0"/>
                <w:caps w:val="0"/>
                <w:color w:val="000000"/>
                <w:sz w:val="26"/>
              </w:rPr>
              <w:t>Danh sách nhà thầu phụ: theo danh sách nhà thầu phụ nêu trong E-HSDT được Chủ đầu tư chấp thuận.</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6.2</w:t>
            </w:r>
          </w:p>
        </w:tc>
        <w:tc>
          <w:tcPr>
            <w:tcW w:type="dxa" w:w="7500"/>
          </w:tcPr>
          <w:p>
            <w:pPr>
              <w:spacing w:before="0" w:after="60"/>
              <w:jc w:val="left"/>
            </w:pPr>
            <w:r>
              <w:rPr>
                <w:rFonts w:ascii="Times New Roman" w:hAnsi="Times New Roman" w:eastAsia="Times New Roman" w:cs="Times New Roman"/>
                <w:b w:val="0"/>
                <w:i w:val="0"/>
                <w:caps w:val="0"/>
                <w:color w:val="000000"/>
                <w:sz w:val="26"/>
              </w:rPr>
              <w:t>Giá trị công việc mà nhà thầu phụ thực hiện không vượt quá: 40%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6.4</w:t>
            </w:r>
          </w:p>
        </w:tc>
        <w:tc>
          <w:tcPr>
            <w:tcW w:type="dxa" w:w="7500"/>
          </w:tcPr>
          <w:p>
            <w:pPr>
              <w:spacing w:before="0" w:after="60"/>
              <w:jc w:val="left"/>
            </w:pPr>
            <w:r>
              <w:rPr>
                <w:rFonts w:ascii="Times New Roman" w:hAnsi="Times New Roman" w:eastAsia="Times New Roman" w:cs="Times New Roman"/>
                <w:b w:val="0"/>
                <w:i w:val="0"/>
                <w:caps w:val="0"/>
                <w:color w:val="000000"/>
                <w:sz w:val="26"/>
              </w:rPr>
              <w:t>Mọi trường hợp thuê ngoài, kể cả sử dụng nhà thầu phụ chưa có trong E-HSDT, nhà thầu phải có văn bản đề nghị và chỉ được thực hiện sau khi được Chủ đầu tư chấp thuận bằng văn bản.</w:t>
            </w:r>
          </w:p>
          <w:p>
            <w:pPr>
              <w:spacing w:before="0" w:after="60"/>
              <w:jc w:val="left"/>
            </w:pPr>
            <w:r>
              <w:rPr>
                <w:rFonts w:ascii="Times New Roman" w:hAnsi="Times New Roman" w:eastAsia="Times New Roman" w:cs="Times New Roman"/>
                <w:b w:val="0"/>
                <w:i w:val="0"/>
                <w:caps w:val="0"/>
                <w:color w:val="000000"/>
                <w:sz w:val="26"/>
              </w:rPr>
              <w:t>Nhà thầu chịu trách nhiệm trước Chủ đầu tư về chất lượng, tiến độ và việc bảo mật thông tin đối với phần công việc thuê ngoài.</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10.1</w:t>
            </w:r>
          </w:p>
        </w:tc>
        <w:tc>
          <w:tcPr>
            <w:tcW w:type="dxa" w:w="7500"/>
          </w:tcPr>
          <w:p>
            <w:pPr>
              <w:spacing w:before="0" w:after="60"/>
              <w:jc w:val="left"/>
            </w:pPr>
            <w:r>
              <w:rPr>
                <w:rFonts w:ascii="Times New Roman" w:hAnsi="Times New Roman" w:eastAsia="Times New Roman" w:cs="Times New Roman"/>
                <w:b w:val="0"/>
                <w:i w:val="0"/>
                <w:caps w:val="0"/>
                <w:color w:val="000000"/>
                <w:sz w:val="26"/>
              </w:rPr>
              <w:t>Loại hợp đồng: trọn gói.</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10.2</w:t>
            </w:r>
          </w:p>
        </w:tc>
        <w:tc>
          <w:tcPr>
            <w:tcW w:type="dxa" w:w="7500"/>
          </w:tcPr>
          <w:p>
            <w:pPr>
              <w:spacing w:before="0" w:after="60"/>
              <w:jc w:val="left"/>
            </w:pPr>
            <w:r>
              <w:rPr>
                <w:rFonts w:ascii="Times New Roman" w:hAnsi="Times New Roman" w:eastAsia="Times New Roman" w:cs="Times New Roman"/>
                <w:b w:val="0"/>
                <w:i w:val="0"/>
                <w:caps w:val="0"/>
                <w:color w:val="000000"/>
                <w:sz w:val="26"/>
              </w:rPr>
              <w:t>Giá hợp đồng: cố định.</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11</w:t>
            </w:r>
          </w:p>
        </w:tc>
        <w:tc>
          <w:tcPr>
            <w:tcW w:type="dxa" w:w="7500"/>
          </w:tcPr>
          <w:p>
            <w:pPr>
              <w:spacing w:before="0" w:after="60"/>
              <w:jc w:val="left"/>
            </w:pPr>
            <w:r>
              <w:rPr>
                <w:rFonts w:ascii="Times New Roman" w:hAnsi="Times New Roman" w:eastAsia="Times New Roman" w:cs="Times New Roman"/>
                <w:b w:val="0"/>
                <w:i w:val="0"/>
                <w:caps w:val="0"/>
                <w:color w:val="000000"/>
                <w:sz w:val="26"/>
              </w:rPr>
              <w:t>Điều chỉnh thuế: không được phép.</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12.1</w:t>
            </w:r>
          </w:p>
        </w:tc>
        <w:tc>
          <w:tcPr>
            <w:tcW w:type="dxa" w:w="7500"/>
          </w:tcPr>
          <w:p>
            <w:pPr>
              <w:spacing w:before="0" w:after="60"/>
              <w:jc w:val="left"/>
            </w:pPr>
            <w:r>
              <w:rPr>
                <w:rFonts w:ascii="Times New Roman" w:hAnsi="Times New Roman" w:eastAsia="Times New Roman" w:cs="Times New Roman"/>
                <w:b w:val="0"/>
                <w:i w:val="0"/>
                <w:caps w:val="0"/>
                <w:color w:val="000000"/>
                <w:sz w:val="26"/>
              </w:rPr>
              <w:t>Tạm ứng: 15% giá hợp đồng.</w:t>
            </w:r>
          </w:p>
          <w:p>
            <w:pPr>
              <w:spacing w:before="0" w:after="60"/>
              <w:jc w:val="left"/>
            </w:pPr>
            <w:r>
              <w:rPr>
                <w:rFonts w:ascii="Times New Roman" w:hAnsi="Times New Roman" w:eastAsia="Times New Roman" w:cs="Times New Roman"/>
                <w:b w:val="0"/>
                <w:i w:val="0"/>
                <w:caps w:val="0"/>
                <w:color w:val="000000"/>
                <w:sz w:val="26"/>
              </w:rPr>
              <w:t>- Điều kiện tạm ứng: sau khi hợp đồng có hiệu lực, Chủ đầu tư nhận được văn bản đề nghị tạm ứng của nhà thầu và bảo lãnh tiền tạm ứng theo Mẫu số 16 Phần 4 hoặc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 Phương thức tạm ứng: chuyển khoản, trong thời hạn thanh toán nêu tại Mục 13.1 E-ĐKCT.</w:t>
            </w:r>
          </w:p>
          <w:p>
            <w:pPr>
              <w:spacing w:before="0" w:after="60"/>
              <w:jc w:val="left"/>
            </w:pPr>
            <w:r>
              <w:rPr>
                <w:rFonts w:ascii="Times New Roman" w:hAnsi="Times New Roman" w:eastAsia="Times New Roman" w:cs="Times New Roman"/>
                <w:b w:val="0"/>
                <w:i w:val="0"/>
                <w:caps w:val="0"/>
                <w:color w:val="000000"/>
                <w:sz w:val="26"/>
              </w:rPr>
              <w:t>- Bảo lãnh tiền tạm ứng có giá trị tương đương khoản tạm ứng và có hiệu lực từ ngày nhà thầu nhận tạm ứng đến khi Chủ đầu tư thanh toán Đợt 2 theo Mục 13.1 E-ĐKCT.</w:t>
            </w:r>
          </w:p>
          <w:p>
            <w:pPr>
              <w:spacing w:before="0" w:after="60"/>
              <w:jc w:val="left"/>
            </w:pPr>
            <w:r>
              <w:rPr>
                <w:rFonts w:ascii="Times New Roman" w:hAnsi="Times New Roman" w:eastAsia="Times New Roman" w:cs="Times New Roman"/>
                <w:b w:val="0"/>
                <w:i w:val="0"/>
                <w:caps w:val="0"/>
                <w:color w:val="000000"/>
                <w:sz w:val="26"/>
              </w:rPr>
              <w:t>- Thu hồi tạm ứng: khoản tạm ứng được tính là Đợt 1 tại Mục 13.1 E-ĐKCT và được thu hồi toàn bộ khi thanh toán Đợt 2 bằng cách bù trừ vào giá trị sản phẩm được nghiệm thu. Tỷ lệ nêu cho từng đợt tại Mục 13.1 E-ĐKCT là số tiền thực trả của đợt đó, tổng các đợt kể cả tạm ứng bằng 100%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13.1</w:t>
            </w:r>
          </w:p>
        </w:tc>
        <w:tc>
          <w:tcPr>
            <w:tcW w:type="dxa" w:w="7500"/>
          </w:tcPr>
          <w:p>
            <w:pPr>
              <w:spacing w:before="0" w:after="60"/>
              <w:jc w:val="left"/>
            </w:pPr>
            <w:r>
              <w:rPr>
                <w:rFonts w:ascii="Times New Roman" w:hAnsi="Times New Roman" w:eastAsia="Times New Roman" w:cs="Times New Roman"/>
                <w:b w:val="0"/>
                <w:i w:val="0"/>
                <w:caps w:val="0"/>
                <w:color w:val="000000"/>
                <w:sz w:val="26"/>
              </w:rPr>
              <w:t>Phương thức thanh toán: chuyển khoản, thanh toán làm 05 đợt, tổng các đợt bằng 100% giá hợp đồng.</w:t>
            </w:r>
          </w:p>
          <w:p>
            <w:pPr>
              <w:spacing w:before="0" w:after="60"/>
              <w:jc w:val="left"/>
            </w:pPr>
            <w:r>
              <w:rPr>
                <w:rFonts w:ascii="Times New Roman" w:hAnsi="Times New Roman" w:eastAsia="Times New Roman" w:cs="Times New Roman"/>
                <w:b w:val="0"/>
                <w:i w:val="0"/>
                <w:caps w:val="0"/>
                <w:color w:val="000000"/>
                <w:sz w:val="26"/>
              </w:rPr>
              <w:t>- Đợt 1: 15% giá hợp đồng, tạm ứng sau khi hợp đồng có hiệu lực và nhà thầu nộp bảo lãnh tiền tạm ứng theo Mục 12.1 E-ĐKCT.</w:t>
            </w:r>
          </w:p>
          <w:p>
            <w:pPr>
              <w:spacing w:before="0" w:after="60"/>
              <w:jc w:val="left"/>
            </w:pPr>
            <w:r>
              <w:rPr>
                <w:rFonts w:ascii="Times New Roman" w:hAnsi="Times New Roman" w:eastAsia="Times New Roman" w:cs="Times New Roman"/>
                <w:b w:val="0"/>
                <w:i w:val="0"/>
                <w:caps w:val="0"/>
                <w:color w:val="000000"/>
                <w:sz w:val="26"/>
              </w:rPr>
              <w:t>- Đợt 2: 25% giá hợp đồng, sau khi hai bên xác nhận đặc tả yêu cầu (baseline) và giao diện ưu tiên, gồm đặc tả hệ thống (Specification) kèm điều kiện đo các yêu cầu phi chức năng, quy trình vận hành mới (New Operational Flow), cấu trúc cơ sở dữ liệu (Database Structure), sơ đồ phân cấp menu (Menu Layer) và thiết kế giao diện các màn hình chính của chức năng tìm kiếm sản phẩm, quản lý thành viên, đặt hàng (hạng mục 1 đến 4 Mẫu số 01A).</w:t>
            </w:r>
          </w:p>
          <w:p>
            <w:pPr>
              <w:spacing w:before="0" w:after="60"/>
              <w:jc w:val="left"/>
            </w:pPr>
            <w:r>
              <w:rPr>
                <w:rFonts w:ascii="Times New Roman" w:hAnsi="Times New Roman" w:eastAsia="Times New Roman" w:cs="Times New Roman"/>
                <w:b w:val="0"/>
                <w:i w:val="0"/>
                <w:caps w:val="0"/>
                <w:color w:val="000000"/>
                <w:sz w:val="26"/>
              </w:rPr>
              <w:t>- Đợt 3: 30% giá hợp đồng, sau khi nhà thầu hoàn thành các chức năng chính của hệ thống gồm tìm kiếm sản phẩm (Product Search), quản lý thành viên (Member Administration), đặt hàng (Order), cơ sở dữ liệu bán hàng (Selling DB) và hoàn thành tích hợp với Main System, được Chủ đầu tư kiểm tra đạt (hạng mục 5 đến 9 Mẫu số 01A).</w:t>
            </w:r>
          </w:p>
          <w:p>
            <w:pPr>
              <w:spacing w:before="0" w:after="60"/>
              <w:jc w:val="left"/>
            </w:pPr>
            <w:r>
              <w:rPr>
                <w:rFonts w:ascii="Times New Roman" w:hAnsi="Times New Roman" w:eastAsia="Times New Roman" w:cs="Times New Roman"/>
                <w:b w:val="0"/>
                <w:i w:val="0"/>
                <w:caps w:val="0"/>
                <w:color w:val="000000"/>
                <w:sz w:val="26"/>
              </w:rPr>
              <w:t>- Đợt 4: 25% giá hợp đồng, sau khi hệ thống hoàn thành kiểm thử hệ thống, kiểm thử vận hành, chuyển giao, được đưa vào vận hành (cut over) và được Chủ đầu tư nghiệm thu (hạng mục 10 đến 13 Mẫu số 01A).</w:t>
            </w:r>
          </w:p>
          <w:p>
            <w:pPr>
              <w:spacing w:before="0" w:after="60"/>
              <w:jc w:val="left"/>
            </w:pPr>
            <w:r>
              <w:rPr>
                <w:rFonts w:ascii="Times New Roman" w:hAnsi="Times New Roman" w:eastAsia="Times New Roman" w:cs="Times New Roman"/>
                <w:b w:val="0"/>
                <w:i w:val="0"/>
                <w:caps w:val="0"/>
                <w:color w:val="000000"/>
                <w:sz w:val="26"/>
              </w:rPr>
              <w:t>- Đợt 5: 5% giá hợp đồng, sau khi nhà thầu nộp bảo lãnh bảo hành có giá trị bằng 5% giá hợp đồng do ngân hàng, tổ chức tín dụng hoặc chi nhánh ngân hàng nước ngoài được thành lập theo pháp luật Việt Nam phát hành, có hiệu lực đến hết thời hạn trách nhiệm đối với sai sót theo Mục 20.1 E-ĐKCT, hình thức và nội dung theo mẫu được Chủ đầu tư chấp thuận.</w:t>
            </w:r>
          </w:p>
          <w:p>
            <w:pPr>
              <w:spacing w:before="0" w:after="60"/>
              <w:jc w:val="left"/>
            </w:pPr>
            <w:r>
              <w:rPr>
                <w:rFonts w:ascii="Times New Roman" w:hAnsi="Times New Roman" w:eastAsia="Times New Roman" w:cs="Times New Roman"/>
                <w:b w:val="0"/>
                <w:i w:val="0"/>
                <w:caps w:val="0"/>
                <w:color w:val="000000"/>
                <w:sz w:val="26"/>
              </w:rPr>
              <w:t>Hồ sơ thanh toán gồm văn bản đề nghị thanh toán của nhà thầu, biên bản nghiệm thu hoặc biên bản xác nhận sản phẩm của đợt tương ứng, hóa đơn hợp lệ và bảo lãnh tương ứng đối với Đợt 1 và Đợt 5. Chủ đầu tư thanh toán trong vòng 15 ngày kể từ ngày nhận đủ hồ sơ thanh toán hợp lệ.</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13.2</w:t>
            </w:r>
          </w:p>
        </w:tc>
        <w:tc>
          <w:tcPr>
            <w:tcW w:type="dxa" w:w="7500"/>
          </w:tcPr>
          <w:p>
            <w:pPr>
              <w:spacing w:before="0" w:after="60"/>
              <w:jc w:val="left"/>
            </w:pPr>
            <w:r>
              <w:rPr>
                <w:rFonts w:ascii="Times New Roman" w:hAnsi="Times New Roman" w:eastAsia="Times New Roman" w:cs="Times New Roman"/>
                <w:b w:val="0"/>
                <w:i w:val="0"/>
                <w:caps w:val="0"/>
                <w:color w:val="000000"/>
                <w:sz w:val="26"/>
              </w:rPr>
              <w:t>Giảm trừ thanh toán: không áp dụng.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15</w:t>
            </w:r>
          </w:p>
        </w:tc>
        <w:tc>
          <w:tcPr>
            <w:tcW w:type="dxa" w:w="7500"/>
          </w:tcPr>
          <w:p>
            <w:pPr>
              <w:spacing w:before="0" w:after="60"/>
              <w:jc w:val="left"/>
            </w:pPr>
            <w:r>
              <w:rPr>
                <w:rFonts w:ascii="Times New Roman" w:hAnsi="Times New Roman" w:eastAsia="Times New Roman" w:cs="Times New Roman"/>
                <w:b w:val="0"/>
                <w:i w:val="0"/>
                <w:caps w:val="0"/>
                <w:color w:val="000000"/>
                <w:sz w:val="26"/>
              </w:rPr>
              <w:t>Vừa áp dụng phạt vi phạm hợp đồng vừa áp dụng bồi thường thiệt hại.</w:t>
            </w:r>
          </w:p>
          <w:p>
            <w:pPr>
              <w:spacing w:before="0" w:after="60"/>
              <w:jc w:val="left"/>
            </w:pPr>
            <w:r>
              <w:rPr>
                <w:rFonts w:ascii="Times New Roman" w:hAnsi="Times New Roman" w:eastAsia="Times New Roman" w:cs="Times New Roman"/>
                <w:b w:val="0"/>
                <w:i w:val="0"/>
                <w:caps w:val="0"/>
                <w:color w:val="000000"/>
                <w:sz w:val="26"/>
              </w:rPr>
              <w:t>1. Phạt vi phạm hợp đồng: Áp dụng. Trừ trường hợp bất khả kháng theo quy định tại Mục 16 E-ĐKC, nếu Nhà thầu không thực hiện một phần hay toàn bộ nội dung công việc theo đúng thời hạn đã nêu trong hợp đồng thì Chủ đầu tư có thể khấu trừ vào giá hợp đồng một khoản tiền phạt tương ứng với 0,1%/ngày giá trị công việc chậm thực hiện cho đến khi nội dung công việc đó được thực hiện. Chủ đầu tư sẽ khấu trừ đến 8% giá trị phần hợp đồng bị vi phạm. Khi đạt đến mức phạt tối đa, Chủ đầu tư có thể xem xét chấm dứt hợp đồng theo quy định tại Mục 19 E-ĐKC. Trường hợp không kịp thời khắc phục sai sót theo thông báo của Chủ đầu tư, Nhà thầu có trách nhiệm nộp tiền phạt thực hiện hợp đồng tương ứng với 10% chi phí cần thiết để khắc phục sai sót. Trường hợp nhân sự chủ chốt không được huy động như đề xuất trong E-HSDT mà chưa được Chủ đầu tư chấp thuận thay thế theo Mục 21 E-ĐKC, Nhà thầu bị phạt 0,05% giá hợp đồng cho mỗi ngày không huy động. Khoản phạt này được tính chung trong mức khấu trừ tối đa 8% nêu trên.</w:t>
            </w:r>
          </w:p>
          <w:p>
            <w:pPr>
              <w:spacing w:before="0" w:after="60"/>
              <w:jc w:val="left"/>
            </w:pPr>
            <w:r>
              <w:rPr>
                <w:rFonts w:ascii="Times New Roman" w:hAnsi="Times New Roman" w:eastAsia="Times New Roman" w:cs="Times New Roman"/>
                <w:b w:val="0"/>
                <w:i w:val="0"/>
                <w:caps w:val="0"/>
                <w:color w:val="000000"/>
                <w:sz w:val="26"/>
              </w:rPr>
              <w:t>2. Bồi thường thiệt hại: Áp dụng. Bồi thường thiệt hại trên cơ sở toàn bộ thiệt hại thực tế.</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17.1(c)</w:t>
            </w:r>
          </w:p>
        </w:tc>
        <w:tc>
          <w:tcPr>
            <w:tcW w:type="dxa" w:w="7500"/>
          </w:tcPr>
          <w:p>
            <w:pPr>
              <w:spacing w:before="0" w:after="60"/>
              <w:jc w:val="left"/>
            </w:pPr>
            <w:r>
              <w:rPr>
                <w:rFonts w:ascii="Times New Roman" w:hAnsi="Times New Roman" w:eastAsia="Times New Roman" w:cs="Times New Roman"/>
                <w:b w:val="0"/>
                <w:i w:val="0"/>
                <w:caps w:val="0"/>
                <w:color w:val="000000"/>
                <w:sz w:val="26"/>
              </w:rPr>
              <w:t>Các nội dung khác về sửa đổi hợp đồng: Chủ đầu tư hoặc nhà thầu được đề xuất thay đổi đặc tả khi cần thiết.</w:t>
            </w:r>
          </w:p>
          <w:p>
            <w:pPr>
              <w:spacing w:before="0" w:after="60"/>
              <w:jc w:val="left"/>
            </w:pPr>
            <w:r>
              <w:rPr>
                <w:rFonts w:ascii="Times New Roman" w:hAnsi="Times New Roman" w:eastAsia="Times New Roman" w:cs="Times New Roman"/>
                <w:b w:val="0"/>
                <w:i w:val="0"/>
                <w:caps w:val="0"/>
                <w:color w:val="000000"/>
                <w:sz w:val="26"/>
              </w:rPr>
              <w:t>Thay đổi đặc tả chỉ được thực hiện sau khi hai bên thống nhất bằng văn bản. Văn bản thống nhất nêu rõ nội dung thay đổi và ảnh hưởng đến tiến độ, giá hợp đồng (nếu có).</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17.4</w:t>
            </w:r>
          </w:p>
        </w:tc>
        <w:tc>
          <w:tcPr>
            <w:tcW w:type="dxa" w:w="7500"/>
          </w:tcPr>
          <w:p>
            <w:pPr>
              <w:spacing w:before="0" w:after="60"/>
              <w:jc w:val="left"/>
            </w:pPr>
            <w:r>
              <w:rPr>
                <w:rFonts w:ascii="Times New Roman" w:hAnsi="Times New Roman" w:eastAsia="Times New Roman" w:cs="Times New Roman"/>
                <w:b w:val="0"/>
                <w:i w:val="0"/>
                <w:caps w:val="0"/>
                <w:color w:val="000000"/>
                <w:sz w:val="26"/>
              </w:rPr>
              <w:t>Trường hợp đề xuất giải pháp tiết kiệm chi phí được Chủ đầu tư chấp thuận và giúp giảm giá hợp đồng, Chủ đầu tư thanh toán cho nhà thầu 30% giá trị giảm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18 (e)</w:t>
            </w:r>
          </w:p>
        </w:tc>
        <w:tc>
          <w:tcPr>
            <w:tcW w:type="dxa" w:w="7500"/>
          </w:tcPr>
          <w:p>
            <w:pPr>
              <w:spacing w:before="0" w:after="60"/>
              <w:jc w:val="left"/>
            </w:pPr>
            <w:r>
              <w:rPr>
                <w:rFonts w:ascii="Times New Roman" w:hAnsi="Times New Roman" w:eastAsia="Times New Roman" w:cs="Times New Roman"/>
                <w:b w:val="0"/>
                <w:i w:val="0"/>
                <w:caps w:val="0"/>
                <w:color w:val="000000"/>
                <w:sz w:val="26"/>
              </w:rPr>
              <w:t>Các trường hợp khác: Chủ đầu tư cung cấp chậm tài liệu, hạ tầng, môi trường so với thời hạn tại mục 3.5 Chương V thì các mốc liên quan được lùi tương ứng số ngày chậm.</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20.1</w:t>
            </w:r>
          </w:p>
        </w:tc>
        <w:tc>
          <w:tcPr>
            <w:tcW w:type="dxa" w:w="7500"/>
          </w:tcPr>
          <w:p>
            <w:pPr>
              <w:spacing w:before="0" w:after="60"/>
              <w:jc w:val="left"/>
            </w:pPr>
            <w:r>
              <w:rPr>
                <w:rFonts w:ascii="Times New Roman" w:hAnsi="Times New Roman" w:eastAsia="Times New Roman" w:cs="Times New Roman"/>
                <w:b w:val="0"/>
                <w:i w:val="0"/>
                <w:caps w:val="0"/>
                <w:color w:val="000000"/>
                <w:sz w:val="26"/>
              </w:rPr>
              <w:t>Nguyên tắc và cách thức đánh giá chất lượng: Chủ đầu tư kiểm tra sản phẩm theo đặc tả đã được hai bên xác nhận và thông báo kết quả kiểm tra cho nhà thầu bằng văn bản. Sản phẩm đạt kết quả kiểm tra được coi là Chủ đầu tư chấp nhận sản phẩm. Đối với lỗi logic trong sản phẩm hoặc vấn đề khác thuộc trách nhiệm của nhà thầu, nhà thầu sửa chữa, bổ sung bằng chi phí của mình trong thời gian sớm nhất.</w:t>
            </w:r>
          </w:p>
          <w:p>
            <w:pPr>
              <w:spacing w:before="0" w:after="60"/>
              <w:jc w:val="left"/>
            </w:pPr>
            <w:r>
              <w:rPr>
                <w:rFonts w:ascii="Times New Roman" w:hAnsi="Times New Roman" w:eastAsia="Times New Roman" w:cs="Times New Roman"/>
                <w:b w:val="0"/>
                <w:i w:val="0"/>
                <w:caps w:val="0"/>
                <w:color w:val="000000"/>
                <w:sz w:val="26"/>
              </w:rPr>
              <w:t>Thời hạn trách nhiệm đối với sai sót: 12 tháng kể từ ngày hệ thống được nghiệm thu và đưa vào vận hành. Trong thời hạn này, nhà thầu duy trì hiệu lực của bảo lãnh bảo hành nêu tại Đợt 5 Mục 13.1 E-ĐKCT.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21.2</w:t>
            </w:r>
          </w:p>
        </w:tc>
        <w:tc>
          <w:tcPr>
            <w:tcW w:type="dxa" w:w="7500"/>
          </w:tcPr>
          <w:p>
            <w:pPr>
              <w:spacing w:before="0" w:after="60"/>
              <w:jc w:val="left"/>
            </w:pPr>
            <w:r>
              <w:rPr>
                <w:rFonts w:ascii="Times New Roman" w:hAnsi="Times New Roman" w:eastAsia="Times New Roman" w:cs="Times New Roman"/>
                <w:b w:val="0"/>
                <w:i w:val="0"/>
                <w:caps w:val="0"/>
                <w:color w:val="000000"/>
                <w:sz w:val="26"/>
              </w:rPr>
              <w:t>Thời gian nhà thầu thực hiện việc thay thế nhân sự: 07 ngày kể từ ngày nhận được yêu cầu thay thế nhân sự của Chủ đầu tư.</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22.2</w:t>
            </w:r>
          </w:p>
        </w:tc>
        <w:tc>
          <w:tcPr>
            <w:tcW w:type="dxa" w:w="7500"/>
          </w:tcPr>
          <w:p>
            <w:pPr>
              <w:spacing w:before="0" w:after="60"/>
              <w:jc w:val="left"/>
            </w:pPr>
            <w:r>
              <w:rPr>
                <w:rFonts w:ascii="Times New Roman" w:hAnsi="Times New Roman" w:eastAsia="Times New Roman" w:cs="Times New Roman"/>
                <w:b w:val="0"/>
                <w:i w:val="0"/>
                <w:caps w:val="0"/>
                <w:color w:val="000000"/>
                <w:sz w:val="26"/>
              </w:rPr>
              <w:t>- Thời gian để tiến hành hòa giải: tối đa 30 ngày.</w:t>
            </w:r>
          </w:p>
          <w:p>
            <w:pPr>
              <w:spacing w:before="0" w:after="60"/>
              <w:jc w:val="left"/>
            </w:pPr>
            <w:r>
              <w:rPr>
                <w:rFonts w:ascii="Times New Roman" w:hAnsi="Times New Roman" w:eastAsia="Times New Roman" w:cs="Times New Roman"/>
                <w:b w:val="0"/>
                <w:i w:val="0"/>
                <w:caps w:val="0"/>
                <w:color w:val="000000"/>
                <w:sz w:val="26"/>
              </w:rPr>
              <w:t>- Giải quyết tranh chấp: nếu hòa giải không thành, một trong hai bên gửi yêu cầu giải quyết tới Tòa án nhân dân có thẩm quyền tại Hà Nội. Chi phí giải quyết tranh chấp do bên có lỗi chịu theo phán quyết.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8 (bổ sung)</w:t>
            </w:r>
          </w:p>
        </w:tc>
        <w:tc>
          <w:tcPr>
            <w:tcW w:type="dxa" w:w="7500"/>
          </w:tcPr>
          <w:p>
            <w:pPr>
              <w:spacing w:before="0" w:after="60"/>
              <w:jc w:val="left"/>
            </w:pPr>
            <w:r>
              <w:rPr>
                <w:rFonts w:ascii="Times New Roman" w:hAnsi="Times New Roman" w:eastAsia="Times New Roman" w:cs="Times New Roman"/>
                <w:b w:val="0"/>
                <w:i w:val="0"/>
                <w:caps w:val="0"/>
                <w:color w:val="000000"/>
                <w:sz w:val="26"/>
              </w:rPr>
              <w:t>Nhà thầu bắt đầu thực hiện công việc xây dựng hệ thống ngay sau khi hợp đồng có hiệu lực. Nhà thầu bàn giao các sản phẩm nêu tại Mẫu số 01A đúng địa điểm và thời hạn đã thống nhất trong tiến độ được Chủ đầu tư chấp thuận.</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14 (bổ sung)</w:t>
            </w:r>
          </w:p>
        </w:tc>
        <w:tc>
          <w:tcPr>
            <w:tcW w:type="dxa" w:w="7500"/>
          </w:tcPr>
          <w:p>
            <w:pPr>
              <w:spacing w:before="0" w:after="60"/>
              <w:jc w:val="left"/>
            </w:pPr>
            <w:r>
              <w:rPr>
                <w:rFonts w:ascii="Times New Roman" w:hAnsi="Times New Roman" w:eastAsia="Times New Roman" w:cs="Times New Roman"/>
                <w:b w:val="0"/>
                <w:i w:val="0"/>
                <w:caps w:val="0"/>
                <w:color w:val="000000"/>
                <w:sz w:val="26"/>
              </w:rPr>
              <w:t>Toàn bộ quyền sở hữu và bản quyền đối với các sản phẩm được phát triển và các kết quả kỹ thuật hình thành trong quá trình thực hiện hợp đồng thuộc về Chủ đầu tư. Nhà thầu chỉ được sử dụng các sản phẩm và kết quả này cho bên thứ ba khi được Chủ đầu tư chấp thuận bằng văn bản. Nhà thầu bảo mật dữ liệu khách hàng, dữ liệu của Main System và các tài liệu khác do Chủ đầu tư cung cấp trong quá trình thực hiện hợp đồng theo Mục 14 E-ĐKC.</w:t>
            </w:r>
          </w:p>
        </w:tc>
      </w:tr>
    </w:tbl>
    <w:p>
      <w:r>
        <w:br w:type="page"/>
      </w:r>
    </w:p>
    <w:p>
      <w:pPr>
        <w:spacing w:before="0" w:after="120"/>
        <w:jc w:val="center"/>
      </w:pPr>
      <w:r>
        <w:rPr>
          <w:rFonts w:ascii="Times New Roman" w:hAnsi="Times New Roman" w:eastAsia="Times New Roman" w:cs="Times New Roman"/>
          <w:b w:val="0"/>
          <w:i w:val="0"/>
          <w:caps w:val="0"/>
          <w:color w:val="000000"/>
          <w:sz w:val="32"/>
        </w:rPr>
        <w:t>Phần 4. Biểu mẫu hợp đồng</w:t>
      </w:r>
    </w:p>
    <w:p>
      <w:pPr>
        <w:spacing w:before="0" w:after="100" w:line="300" w:lineRule="auto"/>
        <w:jc w:val="both"/>
      </w:pPr>
      <w:r>
        <w:rPr>
          <w:rFonts w:ascii="Times New Roman" w:hAnsi="Times New Roman" w:eastAsia="Times New Roman" w:cs="Times New Roman"/>
          <w:b w:val="0"/>
          <w:i w:val="0"/>
          <w:caps w:val="0"/>
          <w:color w:val="000000"/>
          <w:sz w:val="26"/>
        </w:rPr>
        <w:t>Các biểu mẫu dưới đây áp dụng theo Mẫu số 5A ban hành kèm theo Thông tư số 79/2025/TT-BTC. Bảo lãnh thực hiện hợp đồng do nhà thầu trúng thầu hoàn chỉnh trước khi hợp đồng có hiệu lực.</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6300"/>
        <w:gridCol w:w="2700"/>
      </w:tblGrid>
      <w:tr>
        <w:trPr>
          <w:tblHeader/>
        </w:trP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6300"/>
          </w:tcPr>
          <w:p>
            <w:pPr>
              <w:spacing w:before="0" w:after="60"/>
              <w:jc w:val="left"/>
            </w:pPr>
            <w:r>
              <w:rPr>
                <w:rFonts w:ascii="Times New Roman" w:hAnsi="Times New Roman" w:eastAsia="Times New Roman" w:cs="Times New Roman"/>
                <w:b w:val="0"/>
                <w:i w:val="0"/>
                <w:caps w:val="0"/>
                <w:color w:val="000000"/>
                <w:sz w:val="26"/>
              </w:rPr>
              <w:t>Biểu mẫu</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13. Thư chấp thuận E-HSDT và trao hợp đồng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14A. Hợp đồng điện tử</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14B. Hợp đồng điện tử (mua sắm tập trung theo thỏa thuận khung)</w:t>
            </w:r>
          </w:p>
        </w:tc>
        <w:tc>
          <w:tcPr>
            <w:tcW w:type="dxa" w:w="2700"/>
          </w:tcPr>
          <w:p>
            <w:pPr>
              <w:spacing w:before="0" w:after="60"/>
              <w:jc w:val="left"/>
            </w:pPr>
            <w:r>
              <w:rPr>
                <w:rFonts w:ascii="Times New Roman" w:hAnsi="Times New Roman" w:eastAsia="Times New Roman" w:cs="Times New Roman"/>
                <w:b w:val="0"/>
                <w:i w:val="0"/>
                <w:caps w:val="0"/>
                <w:color w:val="000000"/>
                <w:sz w:val="26"/>
              </w:rPr>
              <w:t>Không 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15. Bảo lãnh thực hiện hợp đồng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16. Bảo lãnh tiền tạm ứng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 theo Mục 12.1 E-ĐKCT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17. Giấy ủy quyền</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 khi có ủy quyền</w:t>
            </w:r>
          </w:p>
        </w:tc>
      </w:tr>
    </w:tbl>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E-HSMT - Gói thầu dịch vụ phi tư vấn (Mẫu số 5A, TT 79/2025/TT-BTC)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E-HSMT Dịch vụ xây dựng và triển khai hệ thống website bán hàng trực tuyến (Web Selling Site System)</dc:title>
  <dc:subject/>
  <dc:creator>Trần Bá Đạt</dc:creator>
  <cp:keywords/>
  <dc:description/>
  <cp:lastModifiedBy>Trần Bá Đạt</cp:lastModifiedBy>
  <cp:revision>1</cp:revision>
  <dcterms:created xsi:type="dcterms:W3CDTF">2013-12-23T23:15:00Z</dcterms:created>
  <dcterms:modified xsi:type="dcterms:W3CDTF">2013-12-23T23:15:00Z</dcterms:modified>
  <cp:category/>
  <cp:version>2</cp:version>
  <dc:identifier>87a99f3bf126def5f8837f622ff14687</dc:identifier>
</cp:coreProperties>
</file>