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rPr>
          <w:tblHeader/>
        </w:trP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60"/>
        <w:jc w:val="left"/>
      </w:pPr>
      <w:r>
        <w:fldChar w:fldCharType="begin"/>
        <w:instrText xml:space="preserve"> TOC \o "1-2" \h \z \u </w:instrText>
        <w:fldChar w:fldCharType="separate"/>
      </w:r>
      <w:r>
        <w:rPr>
          <w:rFonts w:ascii="Times New Roman" w:hAnsi="Times New Roman" w:eastAsia="Times New Roman" w:cs="Times New Roman"/>
          <w:b w:val="0"/>
          <w:i w:val="0"/>
          <w:caps w:val="0"/>
          <w:color w:val="000000"/>
          <w:sz w:val="26"/>
        </w:rPr>
        <w:t>Mô tả tóm tắt</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xml:space="preserve">    Chương I. Chỉ dẫn nhà thầu</w:t>
      </w:r>
    </w:p>
    <w:p>
      <w:pPr>
        <w:spacing w:before="0" w:after="60"/>
        <w:jc w:val="left"/>
      </w:pPr>
      <w:r>
        <w:rPr>
          <w:rFonts w:ascii="Times New Roman" w:hAnsi="Times New Roman" w:eastAsia="Times New Roman" w:cs="Times New Roman"/>
          <w:b w:val="0"/>
          <w:i w:val="0"/>
          <w:caps w:val="0"/>
          <w:color w:val="000000"/>
          <w:sz w:val="26"/>
        </w:rPr>
        <w:t xml:space="preserve">    Chương II. Bảng dữ liệu đấu thầu</w:t>
      </w:r>
    </w:p>
    <w:p>
      <w:pPr>
        <w:spacing w:before="0" w:after="60"/>
        <w:jc w:val="left"/>
      </w:pPr>
      <w:r>
        <w:rPr>
          <w:rFonts w:ascii="Times New Roman" w:hAnsi="Times New Roman" w:eastAsia="Times New Roman" w:cs="Times New Roman"/>
          <w:b w:val="0"/>
          <w:i w:val="0"/>
          <w:caps w:val="0"/>
          <w:color w:val="000000"/>
          <w:sz w:val="26"/>
        </w:rPr>
        <w:t xml:space="preserve">    Chương III. Tiêu chuẩn đánh giá E-HSDT</w:t>
      </w:r>
    </w:p>
    <w:p>
      <w:pPr>
        <w:spacing w:before="0" w:after="60"/>
        <w:jc w:val="left"/>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xml:space="preserve">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4. Biểu mẫu hợp đồng</w:t>
      </w:r>
      <w:r>
        <w:fldChar w:fldCharType="end"/>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theo quy định như sau: Nhà thầu tham dự thầu không có cổ phần hoặc vốn góp trên 30% với: Công ty Cổ phần ABC Wear,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pPr>
              <w:spacing w:before="0" w:after="60"/>
              <w:jc w:val="left"/>
            </w:pPr>
            <w:r>
              <w:rPr>
                <w:rFonts w:ascii="Times New Roman" w:hAnsi="Times New Roman" w:eastAsia="Times New Roman" w:cs="Times New Roman"/>
                <w:b w:val="0"/>
                <w:i w:val="0"/>
                <w:caps w:val="0"/>
                <w:color w:val="000000"/>
                <w:sz w:val="26"/>
              </w:rPr>
              <w:t>+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p>
          <w:p>
            <w:pPr>
              <w:spacing w:before="0" w:after="60"/>
              <w:jc w:val="left"/>
            </w:pPr>
            <w:r>
              <w:rPr>
                <w:rFonts w:ascii="Times New Roman" w:hAnsi="Times New Roman" w:eastAsia="Times New Roman" w:cs="Times New Roman"/>
                <w:b w:val="0"/>
                <w:i w:val="0"/>
                <w:caps w:val="0"/>
                <w:color w:val="000000"/>
                <w:sz w:val="26"/>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pPr>
              <w:spacing w:before="0" w:after="60"/>
              <w:jc w:val="left"/>
            </w:pPr>
            <w:r>
              <w:rPr>
                <w:rFonts w:ascii="Times New Roman" w:hAnsi="Times New Roman" w:eastAsia="Times New Roman" w:cs="Times New Roman"/>
                <w:b w:val="0"/>
                <w:i w:val="0"/>
                <w:caps w:val="0"/>
                <w:color w:val="000000"/>
                <w:sz w:val="26"/>
              </w:rPr>
              <w:t>- Nhà thầu tham dự thầu không có cổ phần hoặc vốn góp với các nhà thầu tư vấn; không cùng có cổ phần hoặc vốn góp trên 20% của một tổ chức, cá nhân khác với từng bên, cụ thể như sau:</w:t>
            </w:r>
          </w:p>
          <w:p>
            <w:pPr>
              <w:spacing w:before="0" w:after="60"/>
              <w:jc w:val="left"/>
            </w:pPr>
            <w:r>
              <w:rPr>
                <w:rFonts w:ascii="Times New Roman" w:hAnsi="Times New Roman" w:eastAsia="Times New Roman" w:cs="Times New Roman"/>
                <w:b w:val="0"/>
                <w:i w:val="0"/>
                <w:caps w:val="0"/>
                <w:color w:val="000000"/>
                <w:sz w:val="26"/>
              </w:rPr>
              <w:t>+ Tư vấn lập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tra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định giá: không có.</w:t>
            </w:r>
          </w:p>
          <w:p>
            <w:pPr>
              <w:spacing w:before="0" w:after="60"/>
              <w:jc w:val="left"/>
            </w:pPr>
            <w:r>
              <w:rPr>
                <w:rFonts w:ascii="Times New Roman" w:hAnsi="Times New Roman" w:eastAsia="Times New Roman" w:cs="Times New Roman"/>
                <w:b w:val="0"/>
                <w:i w:val="0"/>
                <w:caps w:val="0"/>
                <w:color w:val="000000"/>
                <w:sz w:val="26"/>
              </w:rPr>
              <w:t>+ Tư vấn giám sát thực hiện hợp đồng, kiểm định: không có.</w:t>
            </w:r>
          </w:p>
          <w:p>
            <w:pPr>
              <w:spacing w:before="0" w:after="60"/>
              <w:jc w:val="left"/>
            </w:pPr>
            <w:r>
              <w:rPr>
                <w:rFonts w:ascii="Times New Roman" w:hAnsi="Times New Roman" w:eastAsia="Times New Roman" w:cs="Times New Roman"/>
                <w:b w:val="0"/>
                <w:i w:val="0"/>
                <w:caps w:val="0"/>
                <w:color w:val="000000"/>
                <w:sz w:val="26"/>
              </w:rPr>
              <w:t>+ Tư vấn lập E-HSMT: không có.</w:t>
            </w:r>
          </w:p>
          <w:p>
            <w:pPr>
              <w:spacing w:before="0" w:after="60"/>
              <w:jc w:val="left"/>
            </w:pPr>
            <w:r>
              <w:rPr>
                <w:rFonts w:ascii="Times New Roman" w:hAnsi="Times New Roman" w:eastAsia="Times New Roman" w:cs="Times New Roman"/>
                <w:b w:val="0"/>
                <w:i w:val="0"/>
                <w:caps w:val="0"/>
                <w:color w:val="000000"/>
                <w:sz w:val="26"/>
              </w:rPr>
              <w:t>+ Tư vấn thẩm định E-HSMT: không có.</w:t>
            </w:r>
          </w:p>
          <w:p>
            <w:pPr>
              <w:spacing w:before="0" w:after="60"/>
              <w:jc w:val="left"/>
            </w:pPr>
            <w:r>
              <w:rPr>
                <w:rFonts w:ascii="Times New Roman" w:hAnsi="Times New Roman" w:eastAsia="Times New Roman" w:cs="Times New Roman"/>
                <w:b w:val="0"/>
                <w:i w:val="0"/>
                <w:caps w:val="0"/>
                <w:color w:val="000000"/>
                <w:sz w:val="26"/>
              </w:rPr>
              <w:t>+ Tư vấn đánh giá E-HSDT: không có.</w:t>
            </w:r>
          </w:p>
          <w:p>
            <w:pPr>
              <w:spacing w:before="0" w:after="60"/>
              <w:jc w:val="left"/>
            </w:pPr>
            <w:r>
              <w:rPr>
                <w:rFonts w:ascii="Times New Roman" w:hAnsi="Times New Roman" w:eastAsia="Times New Roman" w:cs="Times New Roman"/>
                <w:b w:val="0"/>
                <w:i w:val="0"/>
                <w:caps w:val="0"/>
                <w:color w:val="000000"/>
                <w:sz w:val="26"/>
              </w:rPr>
              <w:t>+ Tư vấn thẩm định kết quả lựa chọn nhà thầu: không có.</w:t>
            </w:r>
          </w:p>
          <w:p>
            <w:pPr>
              <w:spacing w:before="0" w:after="60"/>
              <w:jc w:val="left"/>
            </w:pPr>
            <w:r>
              <w:rPr>
                <w:rFonts w:ascii="Times New Roman" w:hAnsi="Times New Roman" w:eastAsia="Times New Roman" w:cs="Times New Roman"/>
                <w:b w:val="0"/>
                <w:i w:val="0"/>
                <w:caps w:val="0"/>
                <w:color w:val="000000"/>
                <w:sz w:val="26"/>
              </w:rPr>
              <w:t>+ Tư vấn quản lý dự án, quản lý hợp đồng, tư vấn khác mà các dịch vụ tư vấn này có phần công việc liên quan trực tiếp tới gói thầu: không có.</w:t>
            </w:r>
          </w:p>
          <w:p>
            <w:pPr>
              <w:spacing w:before="0" w:after="60"/>
              <w:jc w:val="left"/>
            </w:pPr>
            <w:r>
              <w:rPr>
                <w:rFonts w:ascii="Times New Roman" w:hAnsi="Times New Roman" w:eastAsia="Times New Roman" w:cs="Times New Roman"/>
                <w:b w:val="0"/>
                <w:i w:val="0"/>
                <w:caps w:val="0"/>
                <w:color w:val="000000"/>
                <w:sz w:val="26"/>
              </w:rPr>
              <w:t>Nhà thầu tham dự thầu không cùng thuộc một cơ quan hoặc tổ chức trực tiếp quản lý với nhà thầu tư vấn (đã nêu trên).</w:t>
            </w:r>
          </w:p>
          <w:p>
            <w:pPr>
              <w:spacing w:before="0" w:after="60"/>
              <w:jc w:val="left"/>
            </w:pPr>
            <w:r>
              <w:rPr>
                <w:rFonts w:ascii="Times New Roman" w:hAnsi="Times New Roman" w:eastAsia="Times New Roman" w:cs="Times New Roman"/>
                <w:b w:val="0"/>
                <w:i w:val="0"/>
                <w:caps w:val="0"/>
                <w:color w:val="000000"/>
                <w:sz w:val="26"/>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pPr>
              <w:spacing w:before="0" w:after="60"/>
              <w:jc w:val="left"/>
            </w:pPr>
            <w:r>
              <w:rPr>
                <w:rFonts w:ascii="Times New Roman" w:hAnsi="Times New Roman" w:eastAsia="Times New Roman" w:cs="Times New Roman"/>
                <w:b w:val="0"/>
                <w:i w:val="0"/>
                <w:caps w:val="0"/>
                <w:color w:val="000000"/>
                <w:sz w:val="26"/>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pPr>
              <w:spacing w:before="0" w:after="60"/>
              <w:jc w:val="left"/>
            </w:pPr>
            <w:r>
              <w:rPr>
                <w:rFonts w:ascii="Times New Roman" w:hAnsi="Times New Roman" w:eastAsia="Times New Roman" w:cs="Times New Roman"/>
                <w:b w:val="0"/>
                <w:i w:val="0"/>
                <w:caps w:val="0"/>
                <w:color w:val="000000"/>
                <w:sz w:val="26"/>
              </w:rPr>
              <w:t>Tỷ lệ sở hữu vốn = X1 x Y1 + X2 x Y2 + ... + Xn x Yn</w:t>
            </w:r>
          </w:p>
          <w:p>
            <w:pPr>
              <w:spacing w:before="0" w:after="60"/>
              <w:jc w:val="left"/>
            </w:pPr>
            <w:r>
              <w:rPr>
                <w:rFonts w:ascii="Times New Roman" w:hAnsi="Times New Roman" w:eastAsia="Times New Roman" w:cs="Times New Roman"/>
                <w:b w:val="0"/>
                <w:i w:val="0"/>
                <w:caps w:val="0"/>
                <w:color w:val="000000"/>
                <w:sz w:val="26"/>
              </w:rPr>
              <w:t>Trong đó:</w:t>
            </w:r>
          </w:p>
          <w:p>
            <w:pPr>
              <w:spacing w:before="0" w:after="60"/>
              <w:jc w:val="left"/>
            </w:pPr>
            <w:r>
              <w:rPr>
                <w:rFonts w:ascii="Times New Roman" w:hAnsi="Times New Roman" w:eastAsia="Times New Roman" w:cs="Times New Roman"/>
                <w:b w:val="0"/>
                <w:i w:val="0"/>
                <w:caps w:val="0"/>
                <w:color w:val="000000"/>
                <w:sz w:val="26"/>
              </w:rPr>
              <w:t>Xi: Tỷ lệ sở hữu vốn của tổ chức, cá nhân khác trong thành viên liên danh thứ i.</w:t>
            </w:r>
          </w:p>
          <w:p>
            <w:pPr>
              <w:spacing w:before="0" w:after="60"/>
              <w:jc w:val="left"/>
            </w:pPr>
            <w:r>
              <w:rPr>
                <w:rFonts w:ascii="Times New Roman" w:hAnsi="Times New Roman" w:eastAsia="Times New Roman" w:cs="Times New Roman"/>
                <w:b w:val="0"/>
                <w:i w:val="0"/>
                <w:caps w:val="0"/>
                <w:color w:val="000000"/>
                <w:sz w:val="26"/>
              </w:rPr>
              <w:t>Yi: Tỷ lệ phần trăm (%) khối lượng công việc của thành viên liên danh thứ i trong thỏa thuận liên danh.</w:t>
            </w:r>
          </w:p>
          <w:p>
            <w:pPr>
              <w:spacing w:before="0" w:after="60"/>
              <w:jc w:val="left"/>
            </w:pPr>
            <w:r>
              <w:rPr>
                <w:rFonts w:ascii="Times New Roman" w:hAnsi="Times New Roman" w:eastAsia="Times New Roman" w:cs="Times New Roman"/>
                <w:b w:val="0"/>
                <w:i w:val="0"/>
                <w:caps w:val="0"/>
                <w:color w:val="000000"/>
                <w:sz w:val="26"/>
              </w:rPr>
              <w:t>n: Số thành viên tham gia trong liên danh.</w:t>
            </w:r>
          </w:p>
          <w:p>
            <w:pPr>
              <w:spacing w:before="0" w:after="60"/>
              <w:jc w:val="left"/>
            </w:pPr>
            <w:r>
              <w:rPr>
                <w:rFonts w:ascii="Times New Roman" w:hAnsi="Times New Roman" w:eastAsia="Times New Roman" w:cs="Times New Roman"/>
                <w:b w:val="0"/>
                <w:i w:val="0"/>
                <w:caps w:val="0"/>
                <w:color w:val="000000"/>
                <w:sz w:val="26"/>
              </w:rPr>
              <w:t>- Nhà thầu trong nước thuộc trường hợp quy định tại điểm g khoản 1 Điều 10 của Luật Đấu thầu khi chào thầu dịch vụ do nhà thầu đó cung cấp không phải đáp ứng quy định về bảo đảm cạnh tranh quy định tại Mục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Người chịu trách nhiệm tổ chức: Yamada, Phòng Kế hoạch,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 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 Thay đổi đặc tả, khối lượng sau khi ký hợp đồng thực hiện theo Mục 17 E-ĐKC và Mục 17.1 E-ĐKCT.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Tiêu chuẩn đánh giá năng lực và kinh nghiệm thực hiện theo quy định tại Bảng số 01 Chương này và được số hóa dưới dạng webform trên Hệ thống, sử dụng tiêu chí đạt, không đạt.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Trường hợp đồng tiền nêu trong các hợp đồng tương tự hoặc xác nhận thanh toán của Chủ đầu tư đối với những hợp đồng cung cấp dịch vụ phi tư vấn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bán ra của một ngân hàng thương mại hoạt động tại Việt Nam tại ngày ký hợp đồng tương tự đó.</w:t>
      </w:r>
    </w:p>
    <w:p>
      <w:pPr>
        <w:spacing w:before="0" w:after="100" w:line="300" w:lineRule="auto"/>
        <w:jc w:val="both"/>
      </w:pPr>
      <w:r>
        <w:rPr>
          <w:rFonts w:ascii="Times New Roman" w:hAnsi="Times New Roman" w:eastAsia="Times New Roman" w:cs="Times New Roman"/>
          <w:b w:val="0"/>
          <w:i w:val="0"/>
          <w:caps w:val="0"/>
          <w:color w:val="000000"/>
          <w:sz w:val="26"/>
        </w:rPr>
        <w:t>Trường hợp nhà thầu tham dự thầu là công ty mẹ (ví dụ như Tổng công ty) có huy động công ty con, công ty thành viên thực hiện một phần công việc của gói thầu thì nhà thầu phải kê khai cụ thể phần công việc dành cho các công ty con, công ty thành viên theo Mẫu số 09B Chương IV. Việc đánh giá kinh nghiệm thực hiện hợp đồng tương tự căn cứ vào giá trị, khối lượng công việc do công ty mẹ, công ty con, công ty thành viên đảm nhiệm trong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rPr>
          <w:tblHeader/>
        </w:trP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xác định theo cách tính đối với gói thầu có thời gian thực hiện dưới 12 tháng với hệ số k bằng 1,0.</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thành viên liên danh hoặc nhà thầu phụ, có giá trị tối thiểu 600.000.000 đồng (30% giá gói thầu), hoặc có các hạng mục công việc tương tự trong các hợp đồng khác nhau với tổng giá trị tối thiểu 600.000.000 đồng theo hướng dẫn của Mẫu số 5A.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 Nhân sự chủ chốt có thể thuộc biên chế của nhà thầu hoặc do nhà thầu huy động, được kê khai theo Mẫu số 06A, 06B, 06C Chương IV, và nhà thầu phải chứng minh khả năng huy động nhân sự để thực hiện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Điểm của mỗi tiêu chí tổng quát bằng tổng điểm của các tiêu chí chi tiết thuộc tiêu chí đó, chấm theo các mức nêu tại Bảng tiêu chí chi tiết dưới đây. Tổng điểm kỹ thuật bằng tổng điểm của các tiêu chí tổng quát. Cách tính này tương đương công thức tại Mục 3.1 Chương III Mẫu số 5A, trong đó tỷ trọng của mỗi tiêu chí chi tiết bằng điểm tối đa của tiêu chí chi tiết chia cho điểm tối đa của tiêu chí tổng quát chứa nó.</w:t>
      </w:r>
    </w:p>
    <w:p>
      <w:pPr>
        <w:spacing w:before="0" w:after="100" w:line="300" w:lineRule="auto"/>
        <w:jc w:val="both"/>
      </w:pPr>
      <w:r>
        <w:rPr>
          <w:rFonts w:ascii="Times New Roman" w:hAnsi="Times New Roman" w:eastAsia="Times New Roman" w:cs="Times New Roman"/>
          <w:b w:val="0"/>
          <w:i w:val="0"/>
          <w:caps w:val="0"/>
          <w:color w:val="000000"/>
          <w:sz w:val="26"/>
        </w:rPr>
        <w:t>Tiêu chí chi tiết cơ bản được đánh dấu tại cột Tiêu chí cơ bản. Mức điểm tối thiểu chỉ quy định đối với tiêu chí chi tiết cơ bản.</w:t>
      </w:r>
    </w:p>
    <w:p>
      <w:pPr>
        <w:spacing w:before="0" w:after="100" w:line="300" w:lineRule="auto"/>
        <w:jc w:val="both"/>
      </w:pPr>
      <w:r>
        <w:rPr>
          <w:rFonts w:ascii="Times New Roman" w:hAnsi="Times New Roman" w:eastAsia="Times New Roman" w:cs="Times New Roman"/>
          <w:b w:val="0"/>
          <w:i w:val="0"/>
          <w:caps w:val="0"/>
          <w:color w:val="000000"/>
          <w:sz w:val="26"/>
        </w:rPr>
        <w:t>Bảng tiêu chí chi tiết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700"/>
        <w:gridCol w:w="3300"/>
        <w:gridCol w:w="900"/>
        <w:gridCol w:w="1100"/>
        <w:gridCol w:w="3600"/>
      </w:tblGrid>
      <w:tr>
        <w:trPr>
          <w:tblHeader/>
        </w:trPr>
        <w:tc>
          <w:tcPr>
            <w:tcW w:type="dxa" w:w="700"/>
          </w:tcPr>
          <w:p>
            <w:pPr>
              <w:spacing w:before="0" w:after="60"/>
              <w:jc w:val="center"/>
            </w:pPr>
            <w:r>
              <w:rPr>
                <w:rFonts w:ascii="Times New Roman" w:hAnsi="Times New Roman" w:eastAsia="Times New Roman" w:cs="Times New Roman"/>
                <w:b w:val="0"/>
                <w:i w:val="0"/>
                <w:caps w:val="0"/>
                <w:color w:val="000000"/>
                <w:sz w:val="26"/>
              </w:rPr>
              <w:t>STT</w:t>
            </w:r>
          </w:p>
        </w:tc>
        <w:tc>
          <w:tcPr>
            <w:tcW w:type="dxa" w:w="3300"/>
          </w:tcPr>
          <w:p>
            <w:pPr>
              <w:spacing w:before="0" w:after="60"/>
              <w:jc w:val="left"/>
            </w:pPr>
            <w:r>
              <w:rPr>
                <w:rFonts w:ascii="Times New Roman" w:hAnsi="Times New Roman" w:eastAsia="Times New Roman" w:cs="Times New Roman"/>
                <w:b w:val="0"/>
                <w:i w:val="0"/>
                <w:caps w:val="0"/>
                <w:color w:val="000000"/>
                <w:sz w:val="26"/>
              </w:rPr>
              <w:t>Tiêu chí chi tiết</w:t>
            </w:r>
          </w:p>
        </w:tc>
        <w:tc>
          <w:tcPr>
            <w:tcW w:type="dxa" w:w="9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100"/>
          </w:tcPr>
          <w:p>
            <w:pPr>
              <w:spacing w:before="0" w:after="60"/>
              <w:jc w:val="center"/>
            </w:pPr>
            <w:r>
              <w:rPr>
                <w:rFonts w:ascii="Times New Roman" w:hAnsi="Times New Roman" w:eastAsia="Times New Roman" w:cs="Times New Roman"/>
                <w:b w:val="0"/>
                <w:i w:val="0"/>
                <w:caps w:val="0"/>
                <w:color w:val="000000"/>
                <w:sz w:val="26"/>
              </w:rPr>
              <w:t>Tiêu chí cơ bản</w:t>
            </w:r>
          </w:p>
        </w:tc>
        <w:tc>
          <w:tcPr>
            <w:tcW w:type="dxa" w:w="3600"/>
          </w:tcPr>
          <w:p>
            <w:pPr>
              <w:spacing w:before="0" w:after="60"/>
              <w:jc w:val="left"/>
            </w:pPr>
            <w:r>
              <w:rPr>
                <w:rFonts w:ascii="Times New Roman" w:hAnsi="Times New Roman" w:eastAsia="Times New Roman" w:cs="Times New Roman"/>
                <w:b w:val="0"/>
                <w:i w:val="0"/>
                <w:caps w:val="0"/>
                <w:color w:val="000000"/>
                <w:sz w:val="26"/>
              </w:rPr>
              <w:t>Mức chấm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900"/>
          </w:tcPr>
          <w:p>
            <w:pPr>
              <w:spacing w:before="0" w:after="60"/>
              <w:jc w:val="center"/>
            </w:pPr>
            <w:r>
              <w:rPr>
                <w:rFonts w:ascii="Times New Roman" w:hAnsi="Times New Roman" w:eastAsia="Times New Roman" w:cs="Times New Roman"/>
                <w:b w:val="0"/>
                <w:i w:val="0"/>
                <w:caps w:val="0"/>
                <w:color w:val="000000"/>
                <w:sz w:val="26"/>
              </w:rPr>
              <w:t>30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18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mô hình hệ thống mới</w:t>
            </w:r>
          </w:p>
          <w:p>
            <w:pPr>
              <w:spacing w:before="0" w:after="60"/>
              <w:jc w:val="left"/>
            </w:pPr>
            <w:r>
              <w:rPr>
                <w:rFonts w:ascii="Times New Roman" w:hAnsi="Times New Roman" w:eastAsia="Times New Roman" w:cs="Times New Roman"/>
                <w:b w:val="0"/>
                <w:i w:val="0"/>
                <w:caps w:val="0"/>
                <w:color w:val="000000"/>
                <w:sz w:val="26"/>
              </w:rPr>
              <w:t>Mức độ hiểu mục tiêu mở rộng khách hàng qua internet, tạo kênh bán hàng mới (mục 2 Chương V), các chức năng, cơ sở dữ liệu bán hàng (Selling DB), hệ thống liên quan và chiều của các luồng dữ liệu (mục 3.1 Chương V), phần ngoài phạm vi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Phân tích đúng và đủ mục tiêu, các chức năng, Selling DB, Main System, nghiệp vụ vận chuyển và chiều của các luồng dữ liệu, chỉ ra ảnh hưởng của từng yếu tố tới giải pháp đề xuất.</w:t>
            </w:r>
          </w:p>
          <w:p>
            <w:pPr>
              <w:spacing w:before="0" w:after="60"/>
              <w:jc w:val="left"/>
            </w:pPr>
            <w:r>
              <w:rPr>
                <w:rFonts w:ascii="Times New Roman" w:hAnsi="Times New Roman" w:eastAsia="Times New Roman" w:cs="Times New Roman"/>
                <w:b w:val="0"/>
                <w:i w:val="0"/>
                <w:caps w:val="0"/>
                <w:color w:val="000000"/>
                <w:sz w:val="26"/>
              </w:rPr>
              <w:t>Đạt (4 điểm): Trình bày đúng và đủ mục tiêu, các thành phần và luồng dữ liệu nhưng chưa phân tích ảnh hưởng tới giải pháp đề xuất.</w:t>
            </w:r>
          </w:p>
          <w:p>
            <w:pPr>
              <w:spacing w:before="0" w:after="60"/>
              <w:jc w:val="left"/>
            </w:pPr>
            <w:r>
              <w:rPr>
                <w:rFonts w:ascii="Times New Roman" w:hAnsi="Times New Roman" w:eastAsia="Times New Roman" w:cs="Times New Roman"/>
                <w:b w:val="0"/>
                <w:i w:val="0"/>
                <w:caps w:val="0"/>
                <w:color w:val="000000"/>
                <w:sz w:val="26"/>
              </w:rPr>
              <w:t>Đạt một phần (2 điểm): Trình bày đúng mục tiêu nhưng thiếu một số thành phần hoặc luồng dữ liệu của mục 3.1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hiểu sai mục tiêu, mô hình hệ thống mới.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1.2</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kiến trúc, công nghệ và tích hợp với Main System</w:t>
            </w:r>
          </w:p>
          <w:p>
            <w:pPr>
              <w:spacing w:before="0" w:after="60"/>
              <w:jc w:val="left"/>
            </w:pPr>
            <w:r>
              <w:rPr>
                <w:rFonts w:ascii="Times New Roman" w:hAnsi="Times New Roman" w:eastAsia="Times New Roman" w:cs="Times New Roman"/>
                <w:b w:val="0"/>
                <w:i w:val="0"/>
                <w:caps w:val="0"/>
                <w:color w:val="000000"/>
                <w:sz w:val="26"/>
              </w:rPr>
              <w:t>Kiến trúc ứng dụng, công nghệ, thiết kế Selling DB, phương án tích hợp với Main System, bảo mật dữ liệu khách hàng, sự phù hợp với hạ tầng do Chủ đầu tư cung cấp và tài liệu giao diện của Main System (mục 3.1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7</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5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(7 điểm): Giải pháp đầy đủ, nhất quán về kiến trúc, công nghệ, Selling DB, tích hợp với Main System và bảo mật dữ liệu khách hàng, có lý do lựa chọn, có phương án dự phòng cho rủi ro tích hợp và phù hợp hạ tầng tại mục 3.5 Chương V.</w:t>
            </w:r>
          </w:p>
          <w:p>
            <w:pPr>
              <w:spacing w:before="0" w:after="60"/>
              <w:jc w:val="left"/>
            </w:pPr>
            <w:r>
              <w:rPr>
                <w:rFonts w:ascii="Times New Roman" w:hAnsi="Times New Roman" w:eastAsia="Times New Roman" w:cs="Times New Roman"/>
                <w:b w:val="0"/>
                <w:i w:val="0"/>
                <w:caps w:val="0"/>
                <w:color w:val="000000"/>
                <w:sz w:val="26"/>
              </w:rPr>
              <w:t>Đạt (5 điểm): Giải pháp đủ các thành phần nêu trên, khả thi và phù hợp hạ tầng tại mục 3.5 Chương V nhưng chưa nêu lý do lựa chọn hoặc phương án dự phòng cho rủi ro tích hợp.</w:t>
            </w:r>
          </w:p>
          <w:p>
            <w:pPr>
              <w:spacing w:before="0" w:after="60"/>
              <w:jc w:val="left"/>
            </w:pPr>
            <w:r>
              <w:rPr>
                <w:rFonts w:ascii="Times New Roman" w:hAnsi="Times New Roman" w:eastAsia="Times New Roman" w:cs="Times New Roman"/>
                <w:b w:val="0"/>
                <w:i w:val="0"/>
                <w:caps w:val="0"/>
                <w:color w:val="000000"/>
                <w:sz w:val="26"/>
              </w:rPr>
              <w:t>Đạt một phần (3 điểm): Thiếu một trong các thành phần kiến trúc, tích hợp với Main System, bảo mật dữ liệu khách hàng, hoặc giải pháp chưa phù hợp hạ tầng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khả thi.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1.3</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hệ thống hoạt động liên tục 24 giờ mỗi ngày, 365 ngày mỗi năm</w:t>
            </w:r>
          </w:p>
          <w:p>
            <w:pPr>
              <w:spacing w:before="0" w:after="60"/>
              <w:jc w:val="left"/>
            </w:pPr>
            <w:r>
              <w:rPr>
                <w:rFonts w:ascii="Times New Roman" w:hAnsi="Times New Roman" w:eastAsia="Times New Roman" w:cs="Times New Roman"/>
                <w:b w:val="0"/>
                <w:i w:val="0"/>
                <w:caps w:val="0"/>
                <w:color w:val="000000"/>
                <w:sz w:val="26"/>
              </w:rPr>
              <w:t>Giải pháp bảo đảm tính sẵn sàng, dự phòng, sao lưu và phục hồi, giám sát, bảo trì không làm gián đoạn dịch vụ, đề xuất cách tính thời gian hoạt động liên tục làm điều kiện đo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đủ các nội dung nêu trên, có cách tính thời gian hoạt động liên tục, điều kiện đo rõ ràng và phương án kiểm thử chứng minh trước khi đưa hệ thống vào vận hành.</w:t>
            </w:r>
          </w:p>
          <w:p>
            <w:pPr>
              <w:spacing w:before="0" w:after="60"/>
              <w:jc w:val="left"/>
            </w:pPr>
            <w:r>
              <w:rPr>
                <w:rFonts w:ascii="Times New Roman" w:hAnsi="Times New Roman" w:eastAsia="Times New Roman" w:cs="Times New Roman"/>
                <w:b w:val="0"/>
                <w:i w:val="0"/>
                <w:caps w:val="0"/>
                <w:color w:val="000000"/>
                <w:sz w:val="26"/>
              </w:rPr>
              <w:t>Đạt (4 điểm): Giải pháp đủ các nội dung nêu trên, có điều kiện đo nhưng phương án kiểm thử chứng minh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thiếu dự phòng, sao lưu hoặc giám sát,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yêu cầu hoạt động liên tục 24 giờ mỗi ngày, 365 ngày mỗi năm.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1.4</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thời gian phản hồi không quá 2 giây</w:t>
            </w:r>
          </w:p>
          <w:p>
            <w:pPr>
              <w:spacing w:before="0" w:after="60"/>
              <w:jc w:val="left"/>
            </w:pPr>
            <w:r>
              <w:rPr>
                <w:rFonts w:ascii="Times New Roman" w:hAnsi="Times New Roman" w:eastAsia="Times New Roman" w:cs="Times New Roman"/>
                <w:b w:val="0"/>
                <w:i w:val="0"/>
                <w:caps w:val="0"/>
                <w:color w:val="000000"/>
                <w:sz w:val="26"/>
              </w:rPr>
              <w:t>Giải pháp hiệu năng cho các thao tác tìm kiếm sản phẩm, quản lý thành viên, đặt hàng và truy cập Selling DB, đề xuất điều kiện đo (tải, số người dùng đồng thời, điểm đo) và phương pháp kiểm thử hiệu năng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hiệu năng cụ thể cho từng chức năng, điều kiện đo rõ ràng về tải, số người dùng đồng thời, điểm đo và phương pháp kiểm thử hiệu năng có tiêu chí đạt.</w:t>
            </w:r>
          </w:p>
          <w:p>
            <w:pPr>
              <w:spacing w:before="0" w:after="60"/>
              <w:jc w:val="left"/>
            </w:pPr>
            <w:r>
              <w:rPr>
                <w:rFonts w:ascii="Times New Roman" w:hAnsi="Times New Roman" w:eastAsia="Times New Roman" w:cs="Times New Roman"/>
                <w:b w:val="0"/>
                <w:i w:val="0"/>
                <w:caps w:val="0"/>
                <w:color w:val="000000"/>
                <w:sz w:val="26"/>
              </w:rPr>
              <w:t>Đạt (4 điểm): Giải pháp hiệu năng phù hợp, có điều kiện đo nhưng phương pháp kiểm thử hiệu năng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nêu chung, không gắn với các chức năng,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thời gian phản hồi không quá 2 giây.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1.5</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giao diện giúp khách hàng thao tác dễ dàng (Easy Operation for the Customer)</w:t>
            </w:r>
          </w:p>
          <w:p>
            <w:pPr>
              <w:spacing w:before="0" w:after="60"/>
              <w:jc w:val="left"/>
            </w:pPr>
            <w:r>
              <w:rPr>
                <w:rFonts w:ascii="Times New Roman" w:hAnsi="Times New Roman" w:eastAsia="Times New Roman" w:cs="Times New Roman"/>
                <w:b w:val="0"/>
                <w:i w:val="0"/>
                <w:caps w:val="0"/>
                <w:color w:val="000000"/>
                <w:sz w:val="26"/>
              </w:rPr>
              <w:t>Nguyên tắc thiết kế giao diện, trình tự thao tác tìm kiếm sản phẩm, đăng ký thành viên và đặt hàng, sơ đồ phân cấp menu dự kiến, cách đánh giá mức độ thao tác dễ dàng của khách hàng (mục 2 và 3.4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nguyên tắc thiết kế, trình tự thao tác rút gọn cho cả ba chức năng, menu dự kiến và cách đánh giá mức độ thao tác dễ dàng có sự tham gia của Chủ đầu tư.</w:t>
            </w:r>
          </w:p>
          <w:p>
            <w:pPr>
              <w:spacing w:before="0" w:after="60"/>
              <w:jc w:val="left"/>
            </w:pPr>
            <w:r>
              <w:rPr>
                <w:rFonts w:ascii="Times New Roman" w:hAnsi="Times New Roman" w:eastAsia="Times New Roman" w:cs="Times New Roman"/>
                <w:b w:val="0"/>
                <w:i w:val="0"/>
                <w:caps w:val="0"/>
                <w:color w:val="000000"/>
                <w:sz w:val="26"/>
              </w:rPr>
              <w:t>Đạt (3 điểm): Có nguyên tắc thiết kế và trình tự thao tác cho cả ba chức năng nhưng chưa có cách đánh giá mức độ thao tác dễ dàng.</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chưa gắn với các chức năng của hệ thống.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1.6</w:t>
            </w:r>
          </w:p>
        </w:tc>
        <w:tc>
          <w:tcPr>
            <w:tcW w:type="dxa" w:w="3300"/>
          </w:tcPr>
          <w:p>
            <w:pPr>
              <w:spacing w:before="0" w:after="60"/>
              <w:jc w:val="left"/>
            </w:pPr>
            <w:r>
              <w:rPr>
                <w:rFonts w:ascii="Times New Roman" w:hAnsi="Times New Roman" w:eastAsia="Times New Roman" w:cs="Times New Roman"/>
                <w:b w:val="0"/>
                <w:i w:val="0"/>
                <w:caps w:val="0"/>
                <w:color w:val="000000"/>
                <w:sz w:val="26"/>
              </w:rPr>
              <w:t>Điều kiện tiền đề (Precondition) của giải pháp</w:t>
            </w:r>
          </w:p>
          <w:p>
            <w:pPr>
              <w:spacing w:before="0" w:after="60"/>
              <w:jc w:val="left"/>
            </w:pPr>
            <w:r>
              <w:rPr>
                <w:rFonts w:ascii="Times New Roman" w:hAnsi="Times New Roman" w:eastAsia="Times New Roman" w:cs="Times New Roman"/>
                <w:b w:val="0"/>
                <w:i w:val="0"/>
                <w:caps w:val="0"/>
                <w:color w:val="000000"/>
                <w:sz w:val="26"/>
              </w:rPr>
              <w:t>Mức độ rõ ràng của các điều kiện tiền đề và giả định kỹ thuật mà giải pháp dựa vào, sự nhất quán với phân định trách nhiệm và giả định tại mục 3.5 Chương V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Nêu rõ từng điều kiện tiền đề, gắn với nội dung của giải pháp, nhất quán với mục 3.5 Chương V và không phát sinh nghĩa vụ mới cho Chủ đầu tư.</w:t>
            </w:r>
          </w:p>
          <w:p>
            <w:pPr>
              <w:spacing w:before="0" w:after="60"/>
              <w:jc w:val="left"/>
            </w:pPr>
            <w:r>
              <w:rPr>
                <w:rFonts w:ascii="Times New Roman" w:hAnsi="Times New Roman" w:eastAsia="Times New Roman" w:cs="Times New Roman"/>
                <w:b w:val="0"/>
                <w:i w:val="0"/>
                <w:caps w:val="0"/>
                <w:color w:val="000000"/>
                <w:sz w:val="26"/>
              </w:rPr>
              <w:t>Đạt một phần (1 điểm): Có nêu điều kiện tiền đề nhưng chung chung, chưa gắn với nội dung của giải pháp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nêu điều kiện tiền đề.</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2.1</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(Project Scope) gắn với tiêu chuẩn của Chủ đầu tư</w:t>
            </w:r>
          </w:p>
          <w:p>
            <w:pPr>
              <w:spacing w:before="0" w:after="60"/>
              <w:jc w:val="left"/>
            </w:pPr>
            <w:r>
              <w:rPr>
                <w:rFonts w:ascii="Times New Roman" w:hAnsi="Times New Roman" w:eastAsia="Times New Roman" w:cs="Times New Roman"/>
                <w:b w:val="0"/>
                <w:i w:val="0"/>
                <w:caps w:val="0"/>
                <w:color w:val="000000"/>
                <w:sz w:val="26"/>
              </w:rPr>
              <w:t>Mức độ đầy đủ của phạm vi công việc từ phân tích hệ thống đến kiểm thử vận hành theo yêu cầu tại Chương V, phân rã thành các công việc gắn với hạng mục Mẫu số 01A, nhận diện phần ngoài phạm vi là chức năng quản trị nội bộ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Phạm vi đủ mọi hạng mục Mẫu số 01A, phân rã đến công việc có sản phẩm cụ thể, nêu rõ phần ngoài phạm vi và cách đáp ứng yêu cầu của Chủ đầu tư tại Chương V.</w:t>
            </w:r>
          </w:p>
          <w:p>
            <w:pPr>
              <w:spacing w:before="0" w:after="60"/>
              <w:jc w:val="left"/>
            </w:pPr>
            <w:r>
              <w:rPr>
                <w:rFonts w:ascii="Times New Roman" w:hAnsi="Times New Roman" w:eastAsia="Times New Roman" w:cs="Times New Roman"/>
                <w:b w:val="0"/>
                <w:i w:val="0"/>
                <w:caps w:val="0"/>
                <w:color w:val="000000"/>
                <w:sz w:val="26"/>
              </w:rPr>
              <w:t>Đạt (4 điểm): Phạm vi đủ mọi hạng mục Mẫu số 01A và nêu rõ phần ngoài phạm vi nhưng phân rã công việc chưa chi tiết.</w:t>
            </w:r>
          </w:p>
          <w:p>
            <w:pPr>
              <w:spacing w:before="0" w:after="60"/>
              <w:jc w:val="left"/>
            </w:pPr>
            <w:r>
              <w:rPr>
                <w:rFonts w:ascii="Times New Roman" w:hAnsi="Times New Roman" w:eastAsia="Times New Roman" w:cs="Times New Roman"/>
                <w:b w:val="0"/>
                <w:i w:val="0"/>
                <w:caps w:val="0"/>
                <w:color w:val="000000"/>
                <w:sz w:val="26"/>
              </w:rPr>
              <w:t>Đạt một phần (2 điểm): Phạm vi thiếu một hoặc hai hạng mục Mẫu số 01A, hoặc không nêu phần ngoài phạm vi.</w:t>
            </w:r>
          </w:p>
          <w:p>
            <w:pPr>
              <w:spacing w:before="0" w:after="60"/>
              <w:jc w:val="left"/>
            </w:pPr>
            <w:r>
              <w:rPr>
                <w:rFonts w:ascii="Times New Roman" w:hAnsi="Times New Roman" w:eastAsia="Times New Roman" w:cs="Times New Roman"/>
                <w:b w:val="0"/>
                <w:i w:val="0"/>
                <w:caps w:val="0"/>
                <w:color w:val="000000"/>
                <w:sz w:val="26"/>
              </w:rPr>
              <w:t>Không đạt (0 điểm): Phạm vi thiếu từ ba hạng mục Mẫu số 01A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2.2</w:t>
            </w:r>
          </w:p>
        </w:tc>
        <w:tc>
          <w:tcPr>
            <w:tcW w:type="dxa" w:w="3300"/>
          </w:tcPr>
          <w:p>
            <w:pPr>
              <w:spacing w:before="0" w:after="60"/>
              <w:jc w:val="left"/>
            </w:pPr>
            <w:r>
              <w:rPr>
                <w:rFonts w:ascii="Times New Roman" w:hAnsi="Times New Roman" w:eastAsia="Times New Roman" w:cs="Times New Roman"/>
                <w:b w:val="0"/>
                <w:i w:val="0"/>
                <w:caps w:val="0"/>
                <w:color w:val="000000"/>
                <w:sz w:val="26"/>
              </w:rPr>
              <w:t>Sản phẩm bàn giao (Deliverables) trong hợp đồng</w:t>
            </w:r>
          </w:p>
          <w:p>
            <w:pPr>
              <w:spacing w:before="0" w:after="60"/>
              <w:jc w:val="left"/>
            </w:pPr>
            <w:r>
              <w:rPr>
                <w:rFonts w:ascii="Times New Roman" w:hAnsi="Times New Roman" w:eastAsia="Times New Roman" w:cs="Times New Roman"/>
                <w:b w:val="0"/>
                <w:i w:val="0"/>
                <w:caps w:val="0"/>
                <w:color w:val="000000"/>
                <w:sz w:val="26"/>
              </w:rPr>
              <w:t>Danh mục, nội dung, hình thức và thời điểm bàn giao của các sản phẩm: đặc tả hệ thống (Specification) gồm cấu hình cơ sở dữ liệu (DB Configuration) và chức năng (Function), quy trình vận hành mới (New Operational Flow), cấu trúc cơ sở dữ liệu (Database Structure), sơ đồ phân cấp menu (Menu Layer), hệ thống đã hoàn thành kiểm thử vận hành và tài liệu chuyển giao (mục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Nêu đủ các sản phẩm của mục 3.3 Chương V, mỗi sản phẩm có nội dung chính, hình thức, thời điểm bàn giao và cách Chủ đầu tư kiểm tra, xác nhận.</w:t>
            </w:r>
          </w:p>
          <w:p>
            <w:pPr>
              <w:spacing w:before="0" w:after="60"/>
              <w:jc w:val="left"/>
            </w:pPr>
            <w:r>
              <w:rPr>
                <w:rFonts w:ascii="Times New Roman" w:hAnsi="Times New Roman" w:eastAsia="Times New Roman" w:cs="Times New Roman"/>
                <w:b w:val="0"/>
                <w:i w:val="0"/>
                <w:caps w:val="0"/>
                <w:color w:val="000000"/>
                <w:sz w:val="26"/>
              </w:rPr>
              <w:t>Đạt (4 điểm): Nêu đủ các sản phẩm của mục 3.3 Chương V với nội dung và thời điểm bàn giao nhưng chưa nêu cách kiểm tra, xác nhận.</w:t>
            </w:r>
          </w:p>
          <w:p>
            <w:pPr>
              <w:spacing w:before="0" w:after="60"/>
              <w:jc w:val="left"/>
            </w:pPr>
            <w:r>
              <w:rPr>
                <w:rFonts w:ascii="Times New Roman" w:hAnsi="Times New Roman" w:eastAsia="Times New Roman" w:cs="Times New Roman"/>
                <w:b w:val="0"/>
                <w:i w:val="0"/>
                <w:caps w:val="0"/>
                <w:color w:val="000000"/>
                <w:sz w:val="26"/>
              </w:rPr>
              <w:t>Đạt một phần (2 điểm): Thiếu một sản phẩm của mục 3.3 Chương V hoặc chỉ liệt kê tên sản phẩm.</w:t>
            </w:r>
          </w:p>
          <w:p>
            <w:pPr>
              <w:spacing w:before="0" w:after="60"/>
              <w:jc w:val="left"/>
            </w:pPr>
            <w:r>
              <w:rPr>
                <w:rFonts w:ascii="Times New Roman" w:hAnsi="Times New Roman" w:eastAsia="Times New Roman" w:cs="Times New Roman"/>
                <w:b w:val="0"/>
                <w:i w:val="0"/>
                <w:caps w:val="0"/>
                <w:color w:val="000000"/>
                <w:sz w:val="26"/>
              </w:rPr>
              <w:t>Không đạt (0 điểm): Thiếu từ hai sản phẩm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2.3</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phân tích, thiết kế và xây dựng hệ thống</w:t>
            </w:r>
          </w:p>
          <w:p>
            <w:pPr>
              <w:spacing w:before="0" w:after="60"/>
              <w:jc w:val="left"/>
            </w:pPr>
            <w:r>
              <w:rPr>
                <w:rFonts w:ascii="Times New Roman" w:hAnsi="Times New Roman" w:eastAsia="Times New Roman" w:cs="Times New Roman"/>
                <w:b w:val="0"/>
                <w:i w:val="0"/>
                <w:caps w:val="0"/>
                <w:color w:val="000000"/>
                <w:sz w:val="26"/>
              </w:rPr>
              <w:t>Phương pháp thu thập và phân tích yêu cầu, lập và xác nhận đặc tả, thiết kế, xây dựng các chức năng và Selling DB, quản lý cấu hình mã nguồn (mục 3.1 đến 3.3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Phương pháp cụ thể cho từng giai đoạn, có cách thức Chủ đầu tư tham gia xác nhận đặc tả và giao diện ưu tiên, phù hợp thời gian đến ngày cut over.</w:t>
            </w:r>
          </w:p>
          <w:p>
            <w:pPr>
              <w:spacing w:before="0" w:after="60"/>
              <w:jc w:val="left"/>
            </w:pPr>
            <w:r>
              <w:rPr>
                <w:rFonts w:ascii="Times New Roman" w:hAnsi="Times New Roman" w:eastAsia="Times New Roman" w:cs="Times New Roman"/>
                <w:b w:val="0"/>
                <w:i w:val="0"/>
                <w:caps w:val="0"/>
                <w:color w:val="000000"/>
                <w:sz w:val="26"/>
              </w:rPr>
              <w:t>Đạt (3 điểm): Phương pháp phù hợp cho từng giai đoạn nhưng chưa nêu cách thức Chủ đầu tư tham gia xác nhận.</w:t>
            </w:r>
          </w:p>
          <w:p>
            <w:pPr>
              <w:spacing w:before="0" w:after="60"/>
              <w:jc w:val="left"/>
            </w:pPr>
            <w:r>
              <w:rPr>
                <w:rFonts w:ascii="Times New Roman" w:hAnsi="Times New Roman" w:eastAsia="Times New Roman" w:cs="Times New Roman"/>
                <w:b w:val="0"/>
                <w:i w:val="0"/>
                <w:caps w:val="0"/>
                <w:color w:val="000000"/>
                <w:sz w:val="26"/>
              </w:rPr>
              <w:t>Đạt một phần (1 điểm): Chỉ nêu tên phương pháp, chưa áp dụng cụ thể vào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2.4</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kiểm thử và kiểm thử vận hành</w:t>
            </w:r>
          </w:p>
          <w:p>
            <w:pPr>
              <w:spacing w:before="0" w:after="60"/>
              <w:jc w:val="left"/>
            </w:pPr>
            <w:r>
              <w:rPr>
                <w:rFonts w:ascii="Times New Roman" w:hAnsi="Times New Roman" w:eastAsia="Times New Roman" w:cs="Times New Roman"/>
                <w:b w:val="0"/>
                <w:i w:val="0"/>
                <w:caps w:val="0"/>
                <w:color w:val="000000"/>
                <w:sz w:val="26"/>
              </w:rPr>
              <w:t>Kế hoạch kiểm thử chức năng, kiểm thử tích hợp với Main System, kiểm thử các yêu cầu phi chức năng theo điều kiện đo, kiểm thử vận hành (Operation Test) có sự tham gia của Chủ đầu tư, tiêu chí đạt và quản lý lỗi (mục 3.2,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Đủ các loại kiểm thử nêu trên, mỗi loại có phạm vi, dữ liệu, môi trường kiểm thử do nhà thầu cung cấp theo mục 3.5 Chương V, tiêu chí đạt và quy trình xử lý lỗi.</w:t>
            </w:r>
          </w:p>
          <w:p>
            <w:pPr>
              <w:spacing w:before="0" w:after="60"/>
              <w:jc w:val="left"/>
            </w:pPr>
            <w:r>
              <w:rPr>
                <w:rFonts w:ascii="Times New Roman" w:hAnsi="Times New Roman" w:eastAsia="Times New Roman" w:cs="Times New Roman"/>
                <w:b w:val="0"/>
                <w:i w:val="0"/>
                <w:caps w:val="0"/>
                <w:color w:val="000000"/>
                <w:sz w:val="26"/>
              </w:rPr>
              <w:t>Đạt (3 điểm): Đủ các loại kiểm thử nêu trên nhưng tiêu chí đạt hoặc môi trường kiểm thử chưa cụ thể.</w:t>
            </w:r>
          </w:p>
          <w:p>
            <w:pPr>
              <w:spacing w:before="0" w:after="60"/>
              <w:jc w:val="left"/>
            </w:pPr>
            <w:r>
              <w:rPr>
                <w:rFonts w:ascii="Times New Roman" w:hAnsi="Times New Roman" w:eastAsia="Times New Roman" w:cs="Times New Roman"/>
                <w:b w:val="0"/>
                <w:i w:val="0"/>
                <w:caps w:val="0"/>
                <w:color w:val="000000"/>
                <w:sz w:val="26"/>
              </w:rPr>
              <w:t>Đạt một phần (1 điểm): Thiếu kiểm thử tích hợp, kiểm thử phi chức năng hoặc kiểm thử vận hành.</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2.5</w:t>
            </w:r>
          </w:p>
        </w:tc>
        <w:tc>
          <w:tcPr>
            <w:tcW w:type="dxa" w:w="3300"/>
          </w:tcPr>
          <w:p>
            <w:pPr>
              <w:spacing w:before="0" w:after="60"/>
              <w:jc w:val="left"/>
            </w:pPr>
            <w:r>
              <w:rPr>
                <w:rFonts w:ascii="Times New Roman" w:hAnsi="Times New Roman" w:eastAsia="Times New Roman" w:cs="Times New Roman"/>
                <w:b w:val="0"/>
                <w:i w:val="0"/>
                <w:caps w:val="0"/>
                <w:color w:val="000000"/>
                <w:sz w:val="26"/>
              </w:rPr>
              <w:t>Biện pháp bảo đảm chất lượng</w:t>
            </w:r>
          </w:p>
          <w:p>
            <w:pPr>
              <w:spacing w:before="0" w:after="60"/>
              <w:jc w:val="left"/>
            </w:pPr>
            <w:r>
              <w:rPr>
                <w:rFonts w:ascii="Times New Roman" w:hAnsi="Times New Roman" w:eastAsia="Times New Roman" w:cs="Times New Roman"/>
                <w:b w:val="0"/>
                <w:i w:val="0"/>
                <w:caps w:val="0"/>
                <w:color w:val="000000"/>
                <w:sz w:val="26"/>
              </w:rPr>
              <w:t>Quy trình rà soát sản phẩm, đo lường và theo dõi chất lượng, xử lý sai sót trước khi bàn giao (mục 3.3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Có quy trình bảo đảm chất lượng áp dụng cho từng sản phẩm bàn giao, có chỉ số theo dõi và người chịu trách nhiệm.</w:t>
            </w:r>
          </w:p>
          <w:p>
            <w:pPr>
              <w:spacing w:before="0" w:after="60"/>
              <w:jc w:val="left"/>
            </w:pPr>
            <w:r>
              <w:rPr>
                <w:rFonts w:ascii="Times New Roman" w:hAnsi="Times New Roman" w:eastAsia="Times New Roman" w:cs="Times New Roman"/>
                <w:b w:val="0"/>
                <w:i w:val="0"/>
                <w:caps w:val="0"/>
                <w:color w:val="000000"/>
                <w:sz w:val="26"/>
              </w:rPr>
              <w:t>Đạt một phần (1 điểm): Có quy trình chung, chưa gắn với các sản phẩm bàn giao.</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3.1</w:t>
            </w:r>
          </w:p>
        </w:tc>
        <w:tc>
          <w:tcPr>
            <w:tcW w:type="dxa" w:w="3300"/>
          </w:tcPr>
          <w:p>
            <w:pPr>
              <w:spacing w:before="0" w:after="60"/>
              <w:jc w:val="left"/>
            </w:pPr>
            <w:r>
              <w:rPr>
                <w:rFonts w:ascii="Times New Roman" w:hAnsi="Times New Roman" w:eastAsia="Times New Roman" w:cs="Times New Roman"/>
                <w:b w:val="0"/>
                <w:i w:val="0"/>
                <w:caps w:val="0"/>
                <w:color w:val="000000"/>
                <w:sz w:val="26"/>
              </w:rPr>
              <w:t>Tiến độ (Schedule) đến ngày cut over</w:t>
            </w:r>
          </w:p>
          <w:p>
            <w:pPr>
              <w:spacing w:before="0" w:after="60"/>
              <w:jc w:val="left"/>
            </w:pPr>
            <w:r>
              <w:rPr>
                <w:rFonts w:ascii="Times New Roman" w:hAnsi="Times New Roman" w:eastAsia="Times New Roman" w:cs="Times New Roman"/>
                <w:b w:val="0"/>
                <w:i w:val="0"/>
                <w:caps w:val="0"/>
                <w:color w:val="000000"/>
                <w:sz w:val="26"/>
              </w:rPr>
              <w:t>Tính hợp lý và khả thi của tiến độ từ ngày hợp đồng có hiệu lực đến ngày đưa hệ thống vào vận hành (cut over) 01/07/2027: các giai đoạn, mốc gắn với sản phẩm bàn giao và đợt thanh toán tại Mục 13.1 E-ĐKCT, công việc găng, thời gian dự phòng, sự phù hợp với thời hạn Chủ đầu tư cung cấp thông tin hệ thống hiện có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Tiến độ hoàn thành trước ngày 01/07/2027, đủ mốc gắn với sản phẩm và đợt thanh toán, xác định công việc găng, có thời gian dự phòng và phù hợp thời hạn tại mục 3.5 Chương V.</w:t>
            </w:r>
          </w:p>
          <w:p>
            <w:pPr>
              <w:spacing w:before="0" w:after="60"/>
              <w:jc w:val="left"/>
            </w:pPr>
            <w:r>
              <w:rPr>
                <w:rFonts w:ascii="Times New Roman" w:hAnsi="Times New Roman" w:eastAsia="Times New Roman" w:cs="Times New Roman"/>
                <w:b w:val="0"/>
                <w:i w:val="0"/>
                <w:caps w:val="0"/>
                <w:color w:val="000000"/>
                <w:sz w:val="26"/>
              </w:rPr>
              <w:t>Đạt (4 điểm): Tiến độ hoàn thành trước ngày 01/07/2027, đủ mốc gắn với sản phẩm nhưng chưa xác định công việc găng hoặc thời gian dự phòng.</w:t>
            </w:r>
          </w:p>
          <w:p>
            <w:pPr>
              <w:spacing w:before="0" w:after="60"/>
              <w:jc w:val="left"/>
            </w:pPr>
            <w:r>
              <w:rPr>
                <w:rFonts w:ascii="Times New Roman" w:hAnsi="Times New Roman" w:eastAsia="Times New Roman" w:cs="Times New Roman"/>
                <w:b w:val="0"/>
                <w:i w:val="0"/>
                <w:caps w:val="0"/>
                <w:color w:val="000000"/>
                <w:sz w:val="26"/>
              </w:rPr>
              <w:t>Đạt một phần (2 điểm): Tiến độ đáp ứng ngày 01/07/2027 nhưng thiếu mốc gắn với sản phẩm hoặc không phù hợp thời hạn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Tiến độ không đáp ứng ngày 01/07/2027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3.2</w:t>
            </w:r>
          </w:p>
        </w:tc>
        <w:tc>
          <w:tcPr>
            <w:tcW w:type="dxa" w:w="3300"/>
          </w:tcPr>
          <w:p>
            <w:pPr>
              <w:spacing w:before="0" w:after="60"/>
              <w:jc w:val="left"/>
            </w:pPr>
            <w:r>
              <w:rPr>
                <w:rFonts w:ascii="Times New Roman" w:hAnsi="Times New Roman" w:eastAsia="Times New Roman" w:cs="Times New Roman"/>
                <w:b w:val="0"/>
                <w:i w:val="0"/>
                <w:caps w:val="0"/>
                <w:color w:val="000000"/>
                <w:sz w:val="26"/>
              </w:rPr>
              <w:t>Tổ chức thực hiện dự án (Organization)</w:t>
            </w:r>
          </w:p>
          <w:p>
            <w:pPr>
              <w:spacing w:before="0" w:after="60"/>
              <w:jc w:val="left"/>
            </w:pPr>
            <w:r>
              <w:rPr>
                <w:rFonts w:ascii="Times New Roman" w:hAnsi="Times New Roman" w:eastAsia="Times New Roman" w:cs="Times New Roman"/>
                <w:b w:val="0"/>
                <w:i w:val="0"/>
                <w:caps w:val="0"/>
                <w:color w:val="000000"/>
                <w:sz w:val="26"/>
              </w:rPr>
              <w:t>Sơ đồ tổ chức thực hiện của nhà thầu cho gói thầu, đầu mối làm việc với Chủ đầu tư, cơ chế phối hợp, báo cáo và ra quyết định, quản lý nhà thầu phụ nếu có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Sơ đồ tổ chức rõ ràng, có đầu mối, cơ chế phối hợp, báo cáo, ra quyết định và quản lý nhà thầu phụ (nếu có) phù hợp quy mô gói thầu.</w:t>
            </w:r>
          </w:p>
          <w:p>
            <w:pPr>
              <w:spacing w:before="0" w:after="60"/>
              <w:jc w:val="left"/>
            </w:pPr>
            <w:r>
              <w:rPr>
                <w:rFonts w:ascii="Times New Roman" w:hAnsi="Times New Roman" w:eastAsia="Times New Roman" w:cs="Times New Roman"/>
                <w:b w:val="0"/>
                <w:i w:val="0"/>
                <w:caps w:val="0"/>
                <w:color w:val="000000"/>
                <w:sz w:val="26"/>
              </w:rPr>
              <w:t>Đạt (3 điểm): Có sơ đồ tổ chức và đầu mối nhưng cơ chế phối hợp, ra quyết định chưa cụ thể.</w:t>
            </w:r>
          </w:p>
          <w:p>
            <w:pPr>
              <w:spacing w:before="0" w:after="60"/>
              <w:jc w:val="left"/>
            </w:pPr>
            <w:r>
              <w:rPr>
                <w:rFonts w:ascii="Times New Roman" w:hAnsi="Times New Roman" w:eastAsia="Times New Roman" w:cs="Times New Roman"/>
                <w:b w:val="0"/>
                <w:i w:val="0"/>
                <w:caps w:val="0"/>
                <w:color w:val="000000"/>
                <w:sz w:val="26"/>
              </w:rPr>
              <w:t>Đạt một phần (1 điểm): Chỉ nêu danh sách bộ phận, chưa thể hiện quan hệ và đầu mối.</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3.3</w:t>
            </w:r>
          </w:p>
        </w:tc>
        <w:tc>
          <w:tcPr>
            <w:tcW w:type="dxa" w:w="3300"/>
          </w:tcPr>
          <w:p>
            <w:pPr>
              <w:spacing w:before="0" w:after="60"/>
              <w:jc w:val="left"/>
            </w:pPr>
            <w:r>
              <w:rPr>
                <w:rFonts w:ascii="Times New Roman" w:hAnsi="Times New Roman" w:eastAsia="Times New Roman" w:cs="Times New Roman"/>
                <w:b w:val="0"/>
                <w:i w:val="0"/>
                <w:caps w:val="0"/>
                <w:color w:val="000000"/>
                <w:sz w:val="26"/>
              </w:rPr>
              <w:t>Bố trí nhân sự thực hiện gói thầu</w:t>
            </w:r>
          </w:p>
          <w:p>
            <w:pPr>
              <w:spacing w:before="0" w:after="60"/>
              <w:jc w:val="left"/>
            </w:pPr>
            <w:r>
              <w:rPr>
                <w:rFonts w:ascii="Times New Roman" w:hAnsi="Times New Roman" w:eastAsia="Times New Roman" w:cs="Times New Roman"/>
                <w:b w:val="0"/>
                <w:i w:val="0"/>
                <w:caps w:val="0"/>
                <w:color w:val="000000"/>
                <w:sz w:val="26"/>
              </w:rPr>
              <w:t>Phân công nhân sự chủ chốt theo Bảng số 02 Chương III và nhân sự khác theo giai đoạn, thời gian huy động, phương án thay thế khi nhân sự vắng mặt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Phân công rõ nhiệm vụ, thời gian huy động của từng nhân sự theo giai đoạn, phù hợp tiến độ, có phương án thay thế.</w:t>
            </w:r>
          </w:p>
          <w:p>
            <w:pPr>
              <w:spacing w:before="0" w:after="60"/>
              <w:jc w:val="left"/>
            </w:pPr>
            <w:r>
              <w:rPr>
                <w:rFonts w:ascii="Times New Roman" w:hAnsi="Times New Roman" w:eastAsia="Times New Roman" w:cs="Times New Roman"/>
                <w:b w:val="0"/>
                <w:i w:val="0"/>
                <w:caps w:val="0"/>
                <w:color w:val="000000"/>
                <w:sz w:val="26"/>
              </w:rPr>
              <w:t>Đạt (3 điểm): Phân công nhiệm vụ và thời gian huy động phù hợp tiến độ nhưng chưa có phương án thay thế.</w:t>
            </w:r>
          </w:p>
          <w:p>
            <w:pPr>
              <w:spacing w:before="0" w:after="60"/>
              <w:jc w:val="left"/>
            </w:pPr>
            <w:r>
              <w:rPr>
                <w:rFonts w:ascii="Times New Roman" w:hAnsi="Times New Roman" w:eastAsia="Times New Roman" w:cs="Times New Roman"/>
                <w:b w:val="0"/>
                <w:i w:val="0"/>
                <w:caps w:val="0"/>
                <w:color w:val="000000"/>
                <w:sz w:val="26"/>
              </w:rPr>
              <w:t>Đạt một phần (1 điểm): Chỉ liệt kê nhân sự, chưa phân công theo giai đoạn.</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3.4</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họp (Meeting)</w:t>
            </w:r>
          </w:p>
          <w:p>
            <w:pPr>
              <w:spacing w:before="0" w:after="60"/>
              <w:jc w:val="left"/>
            </w:pPr>
            <w:r>
              <w:rPr>
                <w:rFonts w:ascii="Times New Roman" w:hAnsi="Times New Roman" w:eastAsia="Times New Roman" w:cs="Times New Roman"/>
                <w:b w:val="0"/>
                <w:i w:val="0"/>
                <w:caps w:val="0"/>
                <w:color w:val="000000"/>
                <w:sz w:val="26"/>
              </w:rPr>
              <w:t>Kế hoạch họp với Chủ đầu tư: loại cuộc họp, tần suất, thành phần, nội dung, cách lập và xác nhận biên bản, chế độ báo cáo tiến độ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họp đủ các nội dung nêu trên, gắn với các mốc xác nhận đặc tả, kiểm tra sản phẩm và cut over.</w:t>
            </w:r>
          </w:p>
          <w:p>
            <w:pPr>
              <w:spacing w:before="0" w:after="60"/>
              <w:jc w:val="left"/>
            </w:pPr>
            <w:r>
              <w:rPr>
                <w:rFonts w:ascii="Times New Roman" w:hAnsi="Times New Roman" w:eastAsia="Times New Roman" w:cs="Times New Roman"/>
                <w:b w:val="0"/>
                <w:i w:val="0"/>
                <w:caps w:val="0"/>
                <w:color w:val="000000"/>
                <w:sz w:val="26"/>
              </w:rPr>
              <w:t>Đạt (2 điểm): Kế hoạch họp có loại cuộc họp, tần suất, thành phần nhưng chưa gắn với các mốc của dự án.</w:t>
            </w:r>
          </w:p>
          <w:p>
            <w:pPr>
              <w:spacing w:before="0" w:after="60"/>
              <w:jc w:val="left"/>
            </w:pPr>
            <w:r>
              <w:rPr>
                <w:rFonts w:ascii="Times New Roman" w:hAnsi="Times New Roman" w:eastAsia="Times New Roman" w:cs="Times New Roman"/>
                <w:b w:val="0"/>
                <w:i w:val="0"/>
                <w:caps w:val="0"/>
                <w:color w:val="000000"/>
                <w:sz w:val="26"/>
              </w:rPr>
              <w:t>Đạt một phần (1 điểm): Chỉ nêu họp định kỳ, chưa có thành phần và nội dung.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3.5</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chuyển giao, hướng dẫn vận hành và hỗ trợ cut over</w:t>
            </w:r>
          </w:p>
          <w:p>
            <w:pPr>
              <w:spacing w:before="0" w:after="60"/>
              <w:jc w:val="left"/>
            </w:pPr>
            <w:r>
              <w:rPr>
                <w:rFonts w:ascii="Times New Roman" w:hAnsi="Times New Roman" w:eastAsia="Times New Roman" w:cs="Times New Roman"/>
                <w:b w:val="0"/>
                <w:i w:val="0"/>
                <w:caps w:val="0"/>
                <w:color w:val="000000"/>
                <w:sz w:val="26"/>
              </w:rPr>
              <w:t>Kế hoạch chuyển giao tài liệu, hướng dẫn cán bộ của Chủ đầu tư vận hành hệ thống theo quy trình vận hành mới, các bước chuyển sang vận hành chính thức và hỗ trợ sau cut over (mục 3.2 và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cụ thể về đối tượng, nội dung, thời gian hướng dẫn, các bước chuyển sang vận hành chính thức, phương án quay lui khi có sự cố và hỗ trợ sau cut over.</w:t>
            </w:r>
          </w:p>
          <w:p>
            <w:pPr>
              <w:spacing w:before="0" w:after="60"/>
              <w:jc w:val="left"/>
            </w:pPr>
            <w:r>
              <w:rPr>
                <w:rFonts w:ascii="Times New Roman" w:hAnsi="Times New Roman" w:eastAsia="Times New Roman" w:cs="Times New Roman"/>
                <w:b w:val="0"/>
                <w:i w:val="0"/>
                <w:caps w:val="0"/>
                <w:color w:val="000000"/>
                <w:sz w:val="26"/>
              </w:rPr>
              <w:t>Đạt (2 điểm): Có kế hoạch hướng dẫn và các bước chuyển sang vận hành chính thức nhưng chưa có phương án quay lui khi có sự cố.</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chuyển giao và hướng dẫn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4.1</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(Roles) của các bên</w:t>
            </w:r>
          </w:p>
          <w:p>
            <w:pPr>
              <w:spacing w:before="0" w:after="60"/>
              <w:jc w:val="left"/>
            </w:pPr>
            <w:r>
              <w:rPr>
                <w:rFonts w:ascii="Times New Roman" w:hAnsi="Times New Roman" w:eastAsia="Times New Roman" w:cs="Times New Roman"/>
                <w:b w:val="0"/>
                <w:i w:val="0"/>
                <w:caps w:val="0"/>
                <w:color w:val="000000"/>
                <w:sz w:val="26"/>
              </w:rPr>
              <w:t>Mức độ rõ ràng của vai trò và trách nhiệm của nhà thầu và Chủ đầu tư trong xác nhận đặc tả, cung cấp thông tin, kiểm tra, nghiệm thu và vận hành, sự nhất quán với phân định tại mục 3.5 Chương V (mục 3.5, mục 4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ma trận vai trò và trách nhiệm cho từng công việc chính và sản phẩm, nhất quán với mục 3.5 Chương V, nêu rõ người phê duyệt của mỗi bên.</w:t>
            </w:r>
          </w:p>
          <w:p>
            <w:pPr>
              <w:spacing w:before="0" w:after="60"/>
              <w:jc w:val="left"/>
            </w:pPr>
            <w:r>
              <w:rPr>
                <w:rFonts w:ascii="Times New Roman" w:hAnsi="Times New Roman" w:eastAsia="Times New Roman" w:cs="Times New Roman"/>
                <w:b w:val="0"/>
                <w:i w:val="0"/>
                <w:caps w:val="0"/>
                <w:color w:val="000000"/>
                <w:sz w:val="26"/>
              </w:rPr>
              <w:t>Đạt (3 điểm): Nêu đủ vai trò và trách nhiệm của các bên, nhất quán với mục 3.5 Chương V nhưng chưa chi tiết đến từng sản phẩm.</w:t>
            </w:r>
          </w:p>
          <w:p>
            <w:pPr>
              <w:spacing w:before="0" w:after="60"/>
              <w:jc w:val="left"/>
            </w:pPr>
            <w:r>
              <w:rPr>
                <w:rFonts w:ascii="Times New Roman" w:hAnsi="Times New Roman" w:eastAsia="Times New Roman" w:cs="Times New Roman"/>
                <w:b w:val="0"/>
                <w:i w:val="0"/>
                <w:caps w:val="0"/>
                <w:color w:val="000000"/>
                <w:sz w:val="26"/>
              </w:rPr>
              <w:t>Đạt một phần (1 điểm): Vai trò và trách nhiệm nêu chung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4.2</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thay đổi đặc tả</w:t>
            </w:r>
          </w:p>
          <w:p>
            <w:pPr>
              <w:spacing w:before="0" w:after="60"/>
              <w:jc w:val="left"/>
            </w:pPr>
            <w:r>
              <w:rPr>
                <w:rFonts w:ascii="Times New Roman" w:hAnsi="Times New Roman" w:eastAsia="Times New Roman" w:cs="Times New Roman"/>
                <w:b w:val="0"/>
                <w:i w:val="0"/>
                <w:caps w:val="0"/>
                <w:color w:val="000000"/>
                <w:sz w:val="26"/>
              </w:rPr>
              <w:t>Quy trình tiếp nhận đề xuất thay đổi đặc tả của mỗi bên, đánh giá ảnh hưởng tới phạm vi và tiến độ, thống nhất bằng văn bản theo Mục 17.1(c) E-ĐKCT, quản lý phiên bản đặc tả và tài liệu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Quy trình đủ các bước, có biểu mẫu, thời hạn xử lý, cấp phê duyệt và quản lý phiên bản, phù hợp Mục 17.1(c) E-ĐKCT.</w:t>
            </w:r>
          </w:p>
          <w:p>
            <w:pPr>
              <w:spacing w:before="0" w:after="60"/>
              <w:jc w:val="left"/>
            </w:pPr>
            <w:r>
              <w:rPr>
                <w:rFonts w:ascii="Times New Roman" w:hAnsi="Times New Roman" w:eastAsia="Times New Roman" w:cs="Times New Roman"/>
                <w:b w:val="0"/>
                <w:i w:val="0"/>
                <w:caps w:val="0"/>
                <w:color w:val="000000"/>
                <w:sz w:val="26"/>
              </w:rPr>
              <w:t>Đạt (3 điểm): Quy trình đủ các bước, phù hợp Mục 17.1(c) E-ĐKCT nhưng chưa có thời hạn xử lý hoặc chưa quản lý phiên bản.</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về thay đổi đặc tả.</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quy trình trái với Mục 17.1(c) E-ĐKCT.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4.3</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rủi ro</w:t>
            </w:r>
          </w:p>
          <w:p>
            <w:pPr>
              <w:spacing w:before="0" w:after="60"/>
              <w:jc w:val="left"/>
            </w:pPr>
            <w:r>
              <w:rPr>
                <w:rFonts w:ascii="Times New Roman" w:hAnsi="Times New Roman" w:eastAsia="Times New Roman" w:cs="Times New Roman"/>
                <w:b w:val="0"/>
                <w:i w:val="0"/>
                <w:caps w:val="0"/>
                <w:color w:val="000000"/>
                <w:sz w:val="26"/>
              </w:rPr>
              <w:t>Nhận diện, đánh giá các rủi ro chính của gói thầu (tích hợp với Main System, thời gian đến ngày cut over, hiệu năng và hoạt động liên tục), biện pháp phòng ngừa, ứng phó và theo dõi (mục 3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Nhận diện đủ các rủi ro chính, có đánh giá mức độ, biện pháp phòng ngừa, ứng phó, người phụ trách và cách theo dõi.</w:t>
            </w:r>
          </w:p>
          <w:p>
            <w:pPr>
              <w:spacing w:before="0" w:after="60"/>
              <w:jc w:val="left"/>
            </w:pPr>
            <w:r>
              <w:rPr>
                <w:rFonts w:ascii="Times New Roman" w:hAnsi="Times New Roman" w:eastAsia="Times New Roman" w:cs="Times New Roman"/>
                <w:b w:val="0"/>
                <w:i w:val="0"/>
                <w:caps w:val="0"/>
                <w:color w:val="000000"/>
                <w:sz w:val="26"/>
              </w:rPr>
              <w:t>Đạt (3 điểm): Nhận diện đủ các rủi ro chính và biện pháp ứng phó nhưng chưa đánh giá mức độ hoặc chưa có cách theo dõi.</w:t>
            </w:r>
          </w:p>
          <w:p>
            <w:pPr>
              <w:spacing w:before="0" w:after="60"/>
              <w:jc w:val="left"/>
            </w:pPr>
            <w:r>
              <w:rPr>
                <w:rFonts w:ascii="Times New Roman" w:hAnsi="Times New Roman" w:eastAsia="Times New Roman" w:cs="Times New Roman"/>
                <w:b w:val="0"/>
                <w:i w:val="0"/>
                <w:caps w:val="0"/>
                <w:color w:val="000000"/>
                <w:sz w:val="26"/>
              </w:rPr>
              <w:t>Đạt một phần (1 điểm): Chỉ nêu một số rủi ro chung, chưa gắn với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4.4</w:t>
            </w:r>
          </w:p>
        </w:tc>
        <w:tc>
          <w:tcPr>
            <w:tcW w:type="dxa" w:w="3300"/>
          </w:tcPr>
          <w:p>
            <w:pPr>
              <w:spacing w:before="0" w:after="60"/>
              <w:jc w:val="left"/>
            </w:pPr>
            <w:r>
              <w:rPr>
                <w:rFonts w:ascii="Times New Roman" w:hAnsi="Times New Roman" w:eastAsia="Times New Roman" w:cs="Times New Roman"/>
                <w:b w:val="0"/>
                <w:i w:val="0"/>
                <w:caps w:val="0"/>
                <w:color w:val="000000"/>
                <w:sz w:val="26"/>
              </w:rPr>
              <w:t>Khắc phục sai sót trong thời hạn trách nhiệm</w:t>
            </w:r>
          </w:p>
          <w:p>
            <w:pPr>
              <w:spacing w:before="0" w:after="60"/>
              <w:jc w:val="left"/>
            </w:pPr>
            <w:r>
              <w:rPr>
                <w:rFonts w:ascii="Times New Roman" w:hAnsi="Times New Roman" w:eastAsia="Times New Roman" w:cs="Times New Roman"/>
                <w:b w:val="0"/>
                <w:i w:val="0"/>
                <w:caps w:val="0"/>
                <w:color w:val="000000"/>
                <w:sz w:val="26"/>
              </w:rPr>
              <w:t>Phương án tiếp nhận, phân loại và khắc phục lỗi logic, sai sót thuộc trách nhiệm của nhà thầu trong thời hạn 12 tháng kể từ ngày hệ thống được nghiệm thu, thời gian phản hồi và khắc phục (Mục 20.1 E-ĐKCT,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Có quy trình tiếp nhận, phân loại theo mức độ, thời gian phản hồi và khắc phục cho từng mức, đầu mối hỗ trợ trong suốt 12 tháng.</w:t>
            </w:r>
          </w:p>
          <w:p>
            <w:pPr>
              <w:spacing w:before="0" w:after="60"/>
              <w:jc w:val="left"/>
            </w:pPr>
            <w:r>
              <w:rPr>
                <w:rFonts w:ascii="Times New Roman" w:hAnsi="Times New Roman" w:eastAsia="Times New Roman" w:cs="Times New Roman"/>
                <w:b w:val="0"/>
                <w:i w:val="0"/>
                <w:caps w:val="0"/>
                <w:color w:val="000000"/>
                <w:sz w:val="26"/>
              </w:rPr>
              <w:t>Đạt (2 điểm): Có quy trình tiếp nhận và khắc phục nhưng chưa có thời gian phản hồi cho từng mức độ.</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khắc phục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5.1</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bổ sung cần thiết cho thành công của dự án</w:t>
            </w:r>
          </w:p>
          <w:p>
            <w:pPr>
              <w:spacing w:before="0" w:after="60"/>
              <w:jc w:val="left"/>
            </w:pPr>
            <w:r>
              <w:rPr>
                <w:rFonts w:ascii="Times New Roman" w:hAnsi="Times New Roman" w:eastAsia="Times New Roman" w:cs="Times New Roman"/>
                <w:b w:val="0"/>
                <w:i w:val="0"/>
                <w:caps w:val="0"/>
                <w:color w:val="000000"/>
                <w:sz w:val="26"/>
              </w:rPr>
              <w:t>Các nội dung nhà thầu bổ sung ngoài nội dung bắt buộc tại mục 4 Chương V, cần thiết cho thành công của dự án, có phân tích lợi ích và cách thực hiện, không làm thay đổi phạm vi, thời gian thực hiện hợp đồng và không phát sinh nghĩa vụ cho Chủ đầu tư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Có từ hai đề xuất trở lên gắn với rủi ro hoặc mục tiêu cụ thể của dự án, mỗi đề xuất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(2 điểm): Có một đề xuất gắn với rủi ro hoặc mục tiêu cụ thể của dự án,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một phần (1 điểm): Có đề xuất nhưng nêu chung, chưa phân tích lợi ích.</w:t>
            </w:r>
          </w:p>
          <w:p>
            <w:pPr>
              <w:spacing w:before="0" w:after="60"/>
              <w:jc w:val="left"/>
            </w:pPr>
            <w:r>
              <w:rPr>
                <w:rFonts w:ascii="Times New Roman" w:hAnsi="Times New Roman" w:eastAsia="Times New Roman" w:cs="Times New Roman"/>
                <w:b w:val="0"/>
                <w:i w:val="0"/>
                <w:caps w:val="0"/>
                <w:color w:val="000000"/>
                <w:sz w:val="26"/>
              </w:rPr>
              <w:t>Không đạt (0 điểm): Không có đề xuất, hoặc đề xuất làm thay đổi phạm vi, thời gian thực hiện hợp đồng hay phát sinh nghĩa vụ cho Chủ đầu tư.</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5.2</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nâng cao hiệu quả của kênh bán hàng trực tuyến</w:t>
            </w:r>
          </w:p>
          <w:p>
            <w:pPr>
              <w:spacing w:before="0" w:after="60"/>
              <w:jc w:val="left"/>
            </w:pPr>
            <w:r>
              <w:rPr>
                <w:rFonts w:ascii="Times New Roman" w:hAnsi="Times New Roman" w:eastAsia="Times New Roman" w:cs="Times New Roman"/>
                <w:b w:val="0"/>
                <w:i w:val="0"/>
                <w:caps w:val="0"/>
                <w:color w:val="000000"/>
                <w:sz w:val="26"/>
              </w:rPr>
              <w:t>Đề xuất giúp mở rộng khách hàng qua internet và nâng cao hiệu quả của kênh bán hàng mới trong phạm vi hệ thống, ví dụ khả năng truy cập từ nhiều loại thiết bị, khả năng mở rộng khi số lượng khách hàng tăng (mục 2 và mục 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Đề xuất cụ thể, gắn với mục tiêu mở rộng khách hàng qua internet, nêu rõ cách thực hiện trong phạm vi hệ thống và lợi ích dự kiến.</w:t>
            </w:r>
          </w:p>
          <w:p>
            <w:pPr>
              <w:spacing w:before="0" w:after="60"/>
              <w:jc w:val="left"/>
            </w:pPr>
            <w:r>
              <w:rPr>
                <w:rFonts w:ascii="Times New Roman" w:hAnsi="Times New Roman" w:eastAsia="Times New Roman" w:cs="Times New Roman"/>
                <w:b w:val="0"/>
                <w:i w:val="0"/>
                <w:caps w:val="0"/>
                <w:color w:val="000000"/>
                <w:sz w:val="26"/>
              </w:rPr>
              <w:t>Đạt (2 điểm): Đề xuất gắn với mục tiêu của dự án nhưng lợi ích dự kiến chưa rõ.</w:t>
            </w:r>
          </w:p>
          <w:p>
            <w:pPr>
              <w:spacing w:before="0" w:after="60"/>
              <w:jc w:val="left"/>
            </w:pPr>
            <w:r>
              <w:rPr>
                <w:rFonts w:ascii="Times New Roman" w:hAnsi="Times New Roman" w:eastAsia="Times New Roman" w:cs="Times New Roman"/>
                <w:b w:val="0"/>
                <w:i w:val="0"/>
                <w:caps w:val="0"/>
                <w:color w:val="000000"/>
                <w:sz w:val="26"/>
              </w:rPr>
              <w:t>Đạt một phần (1 điểm): Đề xuất nêu chung, chưa gắn với mục tiêu của dự án.</w:t>
            </w:r>
          </w:p>
          <w:p>
            <w:pPr>
              <w:spacing w:before="0" w:after="60"/>
              <w:jc w:val="left"/>
            </w:pPr>
            <w:r>
              <w:rPr>
                <w:rFonts w:ascii="Times New Roman" w:hAnsi="Times New Roman" w:eastAsia="Times New Roman" w:cs="Times New Roman"/>
                <w:b w:val="0"/>
                <w:i w:val="0"/>
                <w:caps w:val="0"/>
                <w:color w:val="000000"/>
                <w:sz w:val="26"/>
              </w:rPr>
              <w:t>Không đạt (0 điểm): Không có đề xuất.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5.3</w:t>
            </w:r>
          </w:p>
        </w:tc>
        <w:tc>
          <w:tcPr>
            <w:tcW w:type="dxa" w:w="3300"/>
          </w:tcPr>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w:t>
            </w:r>
          </w:p>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 trên Hệ thống mạng đấu thầu quốc gia theo Điều 19 và Điều 20 của Nghị định số 214/2025/NĐ-CP. Đối với nhà thầu liên danh, xét thông tin của tất cả thành viên liên danh.</w:t>
            </w:r>
          </w:p>
        </w:tc>
        <w:tc>
          <w:tcPr>
            <w:tcW w:type="dxa" w:w="900"/>
          </w:tcPr>
          <w:p>
            <w:pPr>
              <w:spacing w:before="0" w:after="60"/>
              <w:jc w:val="center"/>
            </w:pPr>
            <w:r>
              <w:rPr>
                <w:rFonts w:ascii="Times New Roman" w:hAnsi="Times New Roman" w:eastAsia="Times New Roman" w:cs="Times New Roman"/>
                <w:b w:val="0"/>
                <w:i w:val="0"/>
                <w:caps w:val="0"/>
                <w:color w:val="000000"/>
                <w:sz w:val="26"/>
              </w:rPr>
              <w:t>9</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(9 điểm): Thông tin trên Hệ thống không ghi nhận hợp đồng nào của nhà thầu hoặc thành viên liên danh chậm tiến độ, chất lượng không đạt yêu cầu hoặc bị chấm dứt do lỗi của nhà thầu, và nhà thầu không có tên trong danh sách nhà thầu có các hành vi quy định tại khoản 1 Điều 20 của Nghị định số 214/2025/NĐ-CP.</w:t>
            </w:r>
          </w:p>
          <w:p>
            <w:pPr>
              <w:spacing w:before="0" w:after="60"/>
              <w:jc w:val="left"/>
            </w:pPr>
            <w:r>
              <w:rPr>
                <w:rFonts w:ascii="Times New Roman" w:hAnsi="Times New Roman" w:eastAsia="Times New Roman" w:cs="Times New Roman"/>
                <w:b w:val="0"/>
                <w:i w:val="0"/>
                <w:caps w:val="0"/>
                <w:color w:val="000000"/>
                <w:sz w:val="26"/>
              </w:rPr>
              <w:t>Đạt một phần (5 điểm): Thông tin trên Hệ thống ghi nhận hợp đồng của nhà thầu hoặc thành viên liên danh chậm tiến độ hoặc chất lượng không đạt yêu cầu do lỗi của nhà thầu, nhưng nhà thầu không có tên trong danh sách nêu trên.</w:t>
            </w:r>
          </w:p>
          <w:p>
            <w:pPr>
              <w:spacing w:before="0" w:after="60"/>
              <w:jc w:val="left"/>
            </w:pPr>
            <w:r>
              <w:rPr>
                <w:rFonts w:ascii="Times New Roman" w:hAnsi="Times New Roman" w:eastAsia="Times New Roman" w:cs="Times New Roman"/>
                <w:b w:val="0"/>
                <w:i w:val="0"/>
                <w:caps w:val="0"/>
                <w:color w:val="000000"/>
                <w:sz w:val="26"/>
              </w:rPr>
              <w:t>Không đạt (0 điểm): Nhà thầu hoặc thành viên liên danh có tên trong danh sách nhà thầu có các hành vi quy định tại khoản 1 Điều 20 của Nghị định số 214/2025/NĐ-CP được đăng tải trên Hệ thống, trong thời hạn 02 năm kể từ lần cuối cùng thực hiện hành vi.</w:t>
            </w:r>
          </w:p>
        </w:tc>
      </w:tr>
    </w:tbl>
    <w:p>
      <w:pPr>
        <w:spacing w:before="0" w:after="100" w:line="300" w:lineRule="auto"/>
        <w:jc w:val="both"/>
      </w:pPr>
      <w:r>
        <w:rPr>
          <w:rFonts w:ascii="Times New Roman" w:hAnsi="Times New Roman" w:eastAsia="Times New Roman" w:cs="Times New Roman"/>
          <w:b w:val="0"/>
          <w:i w:val="0"/>
          <w:caps w:val="0"/>
          <w:color w:val="000000"/>
          <w:sz w:val="26"/>
        </w:rPr>
        <w:t>Điều kiện khác, đề nghị đối với Chủ đầu tư mà nhà thầu nêu trong E-HSDT không được tính điểm kỹ thuật. Các nội dung này được xem xét theo Mục 24 và Mục 25 E-CDNT về sai khác, đặt điều kiện và tính đáp ứng của E-HSDT.</w:t>
      </w:r>
    </w:p>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từng tiêu chí tổng quát không thấp hơn mức điểm tối thiểu và từng tiêu chí chi tiết cơ bản có quy định mức điểm tối thiểu không thấp hơn mức đó.</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600"/>
        <w:gridCol w:w="1800"/>
        <w:gridCol w:w="1200"/>
        <w:gridCol w:w="24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6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800"/>
          </w:tcPr>
          <w:p>
            <w:pPr>
              <w:spacing w:before="0" w:after="60"/>
              <w:jc w:val="left"/>
            </w:pPr>
            <w:r>
              <w:rPr>
                <w:rFonts w:ascii="Times New Roman" w:hAnsi="Times New Roman" w:eastAsia="Times New Roman" w:cs="Times New Roman"/>
                <w:b w:val="0"/>
                <w:i w:val="0"/>
                <w:caps w:val="0"/>
                <w:color w:val="000000"/>
                <w:sz w:val="26"/>
              </w:rPr>
              <w:t>Cách thức thực hiện</w:t>
            </w:r>
          </w:p>
        </w:tc>
        <w:tc>
          <w:tcPr>
            <w:tcW w:type="dxa" w:w="1200"/>
          </w:tcPr>
          <w:p>
            <w:pPr>
              <w:spacing w:before="0" w:after="60"/>
              <w:jc w:val="left"/>
            </w:pPr>
            <w:r>
              <w:rPr>
                <w:rFonts w:ascii="Times New Roman" w:hAnsi="Times New Roman" w:eastAsia="Times New Roman" w:cs="Times New Roman"/>
                <w:b w:val="0"/>
                <w:i w:val="0"/>
                <w:caps w:val="0"/>
                <w:color w:val="000000"/>
                <w:sz w:val="26"/>
              </w:rPr>
              <w:t>Trách nhiệm thực hiện</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rPr>
          <w:tblHeader/>
        </w:trP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3.3 và 3.5. Phân tích yêu cầu, lập đặc tả Web Selling Site System gồm cấu hình cơ sở dữ liệu (DB Configuration), chức năng (Function) và điều kiện đo các yêu cầu phi chức năng,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 và giao diện ưu tiên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và giao diện các màn hình chính của chức năng tìm kiếm sản phẩm, quản lý thành viên, đặt hàng,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3.4 và 3.5. Kiểm thử chức năng, kiểm thử tích hợp với Main System và kiểm thử các yêu cầu phi chức năng về hoạt động liên tục, thời gian phản hồi theo điều kiện đo đã xác nhận, trên môi trường kiểm thử do nhà thầu cung cấp</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Kiểm thử hệ thống trong điều kiện vận hành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3.3. Bàn giao tài liệu chuyển giao nêu tại mục 3.3,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ngày 01/07/2027</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Các tài liệu, dữ liệu về hệ thống hiện có của Chủ đầu tư cần cho việc thực hiện gói thầu được cung cấp cho nhà thầu trúng thầu sau khi hợp đồng có hiệu lực, theo thời hạn nêu tại mục 3.5. Nhà thầu có trách nhiệm bảo mật thông tin này theo Mục 14 E-ĐKC và Chương VII.</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gồm các chức năng tìm kiếm sản phẩm (Product Search), quản lý thành viên (Member Administration), đặt hàng (Order) và cơ sở dữ liệu bán hàng (Selling DB). Theo sơ đồ của RFP, khách hàng (Customer) truy cập hệ thống qua internet (Internet) và dữ liệu giữa khách hàng với hệ thống đi theo hai chiều. Hệ thống chính hiện có của Chủ đầu tư (Main System), là hệ thống quản trị bán hàng, sản phẩm, logistics và giao dịch (Administration of Selling, Products, Logistics, Dealing), chuyển dữ liệu theo chiều từ Main System sang Selling DB. Main System chuyển thông tin theo chiều từ Main System sang nghiệp vụ vận chuyển (Transportation Operation), nghiệp vụ vận chuyển giao hàng tới khách hàng. Do đơn hàng được giao qua nghiệp vụ vận chuyển nhận thông tin từ Main System, việc tích hợp gồm cả chuyển dữ liệu đơn hàng từ hệ thống mới về Main System. Nội dung dữ liệu, tần suất và phương thức của từng luồng được xác định trong đặc tả hệ thống trên cơ sở tài liệu giao diện nêu tại mục 3.5.</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Chức năng quản trị nội bộ (The internal administrative function) nằm ngoài phạm vi gói thầu. Hạ tầng vận hành, môi trường kiểm thử và thông tin về hệ thống hiện có được phân định tại mục 3.5.</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kèm thiết kế giao diện các màn hình chính của chức năng tìm kiếm sản phẩm, quản lý thành viên và đặt hàng (giao diện ưu tiên), (5) hệ thống Web Selling Site System đã hoàn thành kiểm thử vận hành và được đưa vào vận hành, (6) tài liệu chuyển giao gồm tài liệu hướng dẫn sử dụng, tài liệu hướng dẫn vận hành theo quy trình vận hành mới, kết quả kiểm thử hệ thống và kiểm thử vận hành, mã nguồn và tài liệu cài đặt của hệ thống.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(24 hours and 365 days running), có thời gian phản hồi không quá 2 giây (within 2 seconds) đối với mỗi thao tác của khách hàng và có giao diện giúp khách hàng thao tác dễ dàng (Easy Operation for the Customer). Điều kiện đo các yêu cầu này theo mục 3.5. Nhà thầu nêu giải pháp kỹ thuật và phương pháp kiểm thử để chứng minh hệ thống đáp ứng các yêu cầu này. Nhà thầu có thể áp dụng tiêu chuẩn khác nếu chứng minh được tiêu chuẩn đó tương đương hoặc cao hơn yêu cầu nêu trên.</w:t>
      </w:r>
    </w:p>
    <w:p>
      <w:pPr>
        <w:spacing w:before="0" w:after="100" w:line="300" w:lineRule="auto"/>
        <w:jc w:val="both"/>
      </w:pPr>
      <w:r>
        <w:rPr>
          <w:rFonts w:ascii="Times New Roman" w:hAnsi="Times New Roman" w:eastAsia="Times New Roman" w:cs="Times New Roman"/>
          <w:b w:val="0"/>
          <w:i w:val="0"/>
          <w:caps w:val="0"/>
          <w:color w:val="000000"/>
          <w:sz w:val="26"/>
        </w:rPr>
        <w:t>3.5. Phân định trách nhiệm và giả định. Giá dự thầu trọn gói được lập trên cơ sở phân định dưới đây. Việc Chủ đầu tư cung cấp chậm so với thời hạn nêu tại bảng là căn cứ để hai bên xem xét sửa đổi thời gian thực hiện hợp đồng theo Mục 17 E-ĐKC.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800"/>
        <w:gridCol w:w="52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8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5200"/>
          </w:tcPr>
          <w:p>
            <w:pPr>
              <w:spacing w:before="0" w:after="60"/>
              <w:jc w:val="left"/>
            </w:pPr>
            <w:r>
              <w:rPr>
                <w:rFonts w:ascii="Times New Roman" w:hAnsi="Times New Roman" w:eastAsia="Times New Roman" w:cs="Times New Roman"/>
                <w:b w:val="0"/>
                <w:i w:val="0"/>
                <w:caps w:val="0"/>
                <w:color w:val="000000"/>
                <w:sz w:val="26"/>
              </w:rPr>
              <w:t>Phân định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Máy chủ vận hành hệ thống</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800"/>
          </w:tcPr>
          <w:p>
            <w:pPr>
              <w:spacing w:before="0" w:after="60"/>
              <w:jc w:val="left"/>
            </w:pPr>
            <w:r>
              <w:rPr>
                <w:rFonts w:ascii="Times New Roman" w:hAnsi="Times New Roman" w:eastAsia="Times New Roman" w:cs="Times New Roman"/>
                <w:b w:val="0"/>
                <w:i w:val="0"/>
                <w:caps w:val="0"/>
                <w:color w:val="000000"/>
                <w:sz w:val="26"/>
              </w:rPr>
              <w:t>Đường truyền kết nối internet và kết nối tới hệ thống hiện có</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Phần mềm nền (hệ điều hành, hệ quản trị cơ sở dữ liệu, máy chủ ứng dụng) và bản quyền</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kiểm thử, kiểm thử vận hành</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cung cấp, chi phí tính trong giá dự thầu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800"/>
          </w:tcPr>
          <w:p>
            <w:pPr>
              <w:spacing w:before="0" w:after="60"/>
              <w:jc w:val="left"/>
            </w:pPr>
            <w:r>
              <w:rPr>
                <w:rFonts w:ascii="Times New Roman" w:hAnsi="Times New Roman" w:eastAsia="Times New Roman" w:cs="Times New Roman"/>
                <w:b w:val="0"/>
                <w:i w:val="0"/>
                <w:caps w:val="0"/>
                <w:color w:val="000000"/>
                <w:sz w:val="26"/>
              </w:rPr>
              <w:t>Thông tin, giao diện trao đổi dữ liệu của hệ thống hiện có (Main System)</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tài liệu đặc tả giao diện trao đổi dữ liệu sản phẩm, bán hàng, giao dịch của Main System chậm nhất ngày 14/04/2027, tức 27 ngày kể từ ngày hợp đồng có hiệu lực.</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800"/>
          </w:tcPr>
          <w:p>
            <w:pPr>
              <w:spacing w:before="0" w:after="60"/>
              <w:jc w:val="left"/>
            </w:pPr>
            <w:r>
              <w:rPr>
                <w:rFonts w:ascii="Times New Roman" w:hAnsi="Times New Roman" w:eastAsia="Times New Roman" w:cs="Times New Roman"/>
                <w:b w:val="0"/>
                <w:i w:val="0"/>
                <w:caps w:val="0"/>
                <w:color w:val="000000"/>
                <w:sz w:val="26"/>
              </w:rPr>
              <w:t>Điều kiện đo các yêu cầu phi chức năng tại mục 3.4</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đề xuất điều kiện đo trong E-HSDT (tải, số người dùng đồng thời, cách tính thời gian hoạt động liên tục, điểm đo). Hai bên xác nhận điều kiện đo trong đặc tả yêu cầu trước khi thanh toán Đợt 2 theo Mục 13.1 E-ĐKCT.</w:t>
            </w:r>
          </w:p>
        </w:tc>
      </w:tr>
    </w:tbl>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đưa hệ thống vào vận hành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Đề xuất nêu điều kiện đo các yêu cầu phi chức năng tại mục 3.4 theo mục 3.5.</w:t>
      </w:r>
    </w:p>
    <w:p>
      <w:pPr>
        <w:spacing w:before="0" w:after="100" w:line="300" w:lineRule="auto"/>
        <w:jc w:val="both"/>
      </w:pPr>
      <w:r>
        <w:rPr>
          <w:rFonts w:ascii="Times New Roman" w:hAnsi="Times New Roman" w:eastAsia="Times New Roman" w:cs="Times New Roman"/>
          <w:b w:val="0"/>
          <w:i w:val="0"/>
          <w:caps w:val="0"/>
          <w:color w:val="000000"/>
          <w:sz w:val="26"/>
        </w:rPr>
        <w:t>Điều kiện khác liên quan đến hợp đồng và đề nghị đối với Chủ đầu tư không được tính điểm kỹ thuật, được xem xét theo Mục 24 và Mục 25 E-CDNT.</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trụ sở chính Công ty Cổ phần ABC Wear; đại diện: Tổng Giám đốc. Số tài khoản, mã số thuế, điện thoại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Công ty Cổ phần ABC Wear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 gồm điều kiện đo các yêu cầu phi chức năng theo mục 3.5 Chương V.</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người nhận Yamada, Phòng Kế hoạch, địa chỉ trụ sở chính Công ty Cổ phần ABC Wear,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được tính là Đợt 1 tại Mục 13.1 E-ĐKCT và được thu hồi toàn bộ khi thanh toán Đợt 2 bằng cách bù trừ vào giá trị sản phẩm được nghiệm thu. Tỷ lệ nêu cho từng đợt tại Mục 13.1 E-ĐKCT là số tiền thực trả của đợt đó, tổng các đợt kể cả tạm ứng bằng 100%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(baseline) và giao diện ưu tiên, gồm đặc tả hệ thống (Specification) kèm điều kiện đo các yêu cầu phi chức năng, quy trình vận hành mới (New Operational Flow), cấu trúc cơ sở dữ liệu (Database Structure), sơ đồ phân cấp menu (Menu Layer) và thiết kế giao diện các màn hình chính của chức năng tìm kiếm sản phẩm, quản lý thành viên, đặt hàng (hạng mục 1 đến 4 Mẫu số 01A).</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 (hạng mục 5 đến 9 Mẫu số 01A).</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hệ thống, kiểm thử vận hành, chuyển giao, được đưa vào vận hành (cut over) và được Chủ đầu tư nghiệm thu (hạng mục 10 đến 13 Mẫu số 01A).</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do ngân hàng, tổ chức tín dụng hoặc chi nhánh ngân hàng nước ngoài được thành lập theo pháp luật Việt Nam phát hành, có hiệu lực đến hết thời hạn trách nhiệm đối với sai sót theo Mục 20.1 E-ĐKCT, hình thức và nội dung theo mẫu được Chủ đầu tư chấp thuận.</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0,1%/ngày giá trị công việc chậm thực hiện cho đến khi nội dung công việc đó được thực hiện. Chủ đầu tư sẽ khấu trừ đến 8% giá trị phần hợp đồng bị vi phạm. Khi đạt đến mức phạt tối đa, Chủ đầu tư có thể xem xét chấm dứt hợp đồng theo quy định tại Mục 19 E-ĐKC. Trường hợp không kịp thời khắc phục sai sót theo thông báo của Chủ đầu tư, Nhà thầu có trách nhiệm nộp tiền phạt thực hiện hợp đồng tương ứng với 10% chi phí cần thiết để khắc phục sai sót.</w:t>
            </w:r>
          </w:p>
          <w:p>
            <w:pPr>
              <w:spacing w:before="0" w:after="60"/>
              <w:jc w:val="left"/>
            </w:pPr>
            <w:r>
              <w:rPr>
                <w:rFonts w:ascii="Times New Roman" w:hAnsi="Times New Roman" w:eastAsia="Times New Roman" w:cs="Times New Roman"/>
                <w:b w:val="0"/>
                <w:i w:val="0"/>
                <w:caps w:val="0"/>
                <w:color w:val="000000"/>
                <w:sz w:val="26"/>
              </w:rPr>
              <w:t>2. Bồi thường thiệt hại: Áp dụng. Bồi thường thiệt hại trên cơ sở toàn bộ thiệt hại thực tế.</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không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Nhà thầu bảo mật dữ liệu khách hàng, dữ liệu của Main System và các tài liệu khác do Chủ đầu tư cung cấp trong quá trình thực hiện hợp đồng theo Mục 14 E-ĐKC.</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Trần Bá Đạt</dc:creator>
  <cp:keywords/>
  <dc:description/>
  <cp:lastModifiedBy>Trần Bá Đạt</cp:lastModifiedBy>
  <cp:revision>1</cp:revision>
  <dcterms:created xsi:type="dcterms:W3CDTF">2013-12-23T23:15:00Z</dcterms:created>
  <dcterms:modified xsi:type="dcterms:W3CDTF">2013-12-23T23:15:00Z</dcterms:modified>
  <cp:category/>
</cp:coreProperties>
</file>