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Quản lý dự án, mã WBS 1</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0.3,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60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 họp khởi động, 1 kế hoạch quản lý dự án, 1 kế hoạch bảo đảm chất lượng, 7 sprint báo cáo, 5 đợt thanh toán, 2 lần Chủ đầu tư xác nhận (kế hoạch, chức năng chính), rà soát mã nguồn và giấy phép thư viện. Tổng nhóm 60 MD theo tong_theo_nhom của uoc_luong.json. Thuộc phần đầu việc phi chức năng ở bước 3 của uoc_luong.json (quản trị dự án, bảo đảm chất lượng, rà soát mã, nghiệm thu). Công việc quản lý liên tục (họp, báo cáo, rủi ro, thay đổi, cấu hình, hồ sơ thanh toán) dàn trải 73 ngày làm việc bằng một nửa thời gian của quản trị dự án, phần còn lại chia theo số kế hoạch và số lần xác nhận: khởi động và lập kế hoạch 13,5 MD (1.1); theo dõi, kiểm soát và bảo đảm chất lượng 33,5 MD (1.2); nghiệm thu và kết thúc dự án 13 MD (1.3).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18/03/2027 - 01/07/2027 (sprint S1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2.1.7 (Hai bên xác nhận đặc tả yêu cầu và giao diện ưu tiên), 3.3.2 (Dịch vụ tìm kiếm theo từ khóa và gợi ý tìm kiếm), 3.4.4 (Sửa lỗi và kiểm thử lại chức năng tìm kiếm, lọc và sắp xếp), 3.4.6 (Sửa lỗi và kiểm thử lại trang chủ, danh mục và chi tiết sản phẩm), 4.3.2 (Dịch vụ đăng nhập, phiên làm việc và giới hạn đăng nhập sai), 4.4.4 (Sửa lỗi và kiểm thử lại đăng ký, đăng nhập và bảo mật tài khoản), 4.4.6 (Sửa lỗi và kiểm thử lại thông tin thành viên và sổ địa chỉ), 5.3.5 (Dịch vụ đặt hàng, xác nhận đơn và thư điện tử xác nhận), 5.4.5 (Sửa lỗi và kiểm thử lại giỏ hàng và giữ tồn kho), 5.4.7 (Sửa lỗi và kiểm thử lại đặt hàng, phí vận chuyển và khuyến mại), 5.4.8 (Sửa lỗi và kiểm thử lại theo dõi đơn hàng, hủy đơn và đổi trả), 6.1.1 (Khung ứng dụng phía máy chủ và thành phần dùng chung về xác thực, phân quyền, ghi nhật ký, xử lý lỗi), 6.2.11 (Sửa lỗi và kiểm thử lại tích hợp với Main System), 7.2.4 (Khắc phục lỗi sau kiểm thử hệ thống)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1. Quản lý dự án</w:t>
      </w:r>
    </w:p>
    <w:p>
      <w:pPr>
        <w:spacing w:before="0" w:after="40" w:line="300" w:lineRule="auto"/>
        <w:ind w:left="360"/>
        <w:jc w:val="left"/>
      </w:pPr>
      <w:r>
        <w:rPr>
          <w:rFonts w:ascii="Times New Roman" w:hAnsi="Times New Roman" w:eastAsia="Times New Roman" w:cs="Times New Roman"/>
          <w:b/>
          <w:i w:val="0"/>
          <w:caps w:val="0"/>
          <w:color w:val="000000"/>
          <w:sz w:val="26"/>
        </w:rPr>
        <w:t>1.1. Khởi động và lập kế hoạch</w:t>
      </w:r>
    </w:p>
    <w:p>
      <w:pPr>
        <w:spacing w:before="0" w:after="40" w:line="300" w:lineRule="auto"/>
        <w:ind w:left="720"/>
        <w:jc w:val="left"/>
      </w:pPr>
      <w:r>
        <w:rPr>
          <w:rFonts w:ascii="Times New Roman" w:hAnsi="Times New Roman" w:eastAsia="Times New Roman" w:cs="Times New Roman"/>
          <w:b w:val="0"/>
          <w:i w:val="0"/>
          <w:caps w:val="0"/>
          <w:color w:val="000000"/>
          <w:sz w:val="26"/>
        </w:rPr>
        <w:t>1.1.1. Họp khởi động, xác nhận phạm vi, điều kiện tiền đề, vai trò và trách nhiệm các bên</w:t>
      </w:r>
    </w:p>
    <w:p>
      <w:pPr>
        <w:spacing w:before="0" w:after="40" w:line="300" w:lineRule="auto"/>
        <w:ind w:left="720"/>
        <w:jc w:val="left"/>
      </w:pPr>
      <w:r>
        <w:rPr>
          <w:rFonts w:ascii="Times New Roman" w:hAnsi="Times New Roman" w:eastAsia="Times New Roman" w:cs="Times New Roman"/>
          <w:b w:val="0"/>
          <w:i w:val="0"/>
          <w:caps w:val="0"/>
          <w:color w:val="000000"/>
          <w:sz w:val="26"/>
        </w:rPr>
        <w:t>1.1.2. Kế hoạch quản lý dự án gồm phạm vi, tiến độ, tổ chức thực hiện, kế hoạch họp, quản lý rủi ro và thay đổi đặc tả</w:t>
      </w:r>
    </w:p>
    <w:p>
      <w:pPr>
        <w:spacing w:before="0" w:after="40" w:line="300" w:lineRule="auto"/>
        <w:ind w:left="720"/>
        <w:jc w:val="left"/>
      </w:pPr>
      <w:r>
        <w:rPr>
          <w:rFonts w:ascii="Times New Roman" w:hAnsi="Times New Roman" w:eastAsia="Times New Roman" w:cs="Times New Roman"/>
          <w:b w:val="0"/>
          <w:i w:val="0"/>
          <w:caps w:val="0"/>
          <w:color w:val="000000"/>
          <w:sz w:val="26"/>
        </w:rPr>
        <w:t>1.1.3. Cập nhật sổ rủi ro, kế hoạch quản lý thay đổi và cấu hình theo đặc tả đã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1.1.4. Kế hoạch bảo đảm chất lượng, quy chuẩn mã nguồn và tiêu chí hoàn thành công việc</w:t>
      </w:r>
    </w:p>
    <w:p>
      <w:pPr>
        <w:spacing w:before="0" w:after="40" w:line="300" w:lineRule="auto"/>
        <w:ind w:left="720"/>
        <w:jc w:val="left"/>
      </w:pPr>
      <w:r>
        <w:rPr>
          <w:rFonts w:ascii="Times New Roman" w:hAnsi="Times New Roman" w:eastAsia="Times New Roman" w:cs="Times New Roman"/>
          <w:b w:val="0"/>
          <w:i w:val="0"/>
          <w:caps w:val="0"/>
          <w:color w:val="000000"/>
          <w:sz w:val="26"/>
        </w:rPr>
        <w:t>1.1.5. Chủ đầu tư xem xét, xác nhận kế hoạch quản lý dự án</w:t>
      </w:r>
    </w:p>
    <w:p>
      <w:pPr>
        <w:spacing w:before="0" w:after="40" w:line="300" w:lineRule="auto"/>
        <w:ind w:left="360"/>
        <w:jc w:val="left"/>
      </w:pPr>
      <w:r>
        <w:rPr>
          <w:rFonts w:ascii="Times New Roman" w:hAnsi="Times New Roman" w:eastAsia="Times New Roman" w:cs="Times New Roman"/>
          <w:b/>
          <w:i w:val="0"/>
          <w:caps w:val="0"/>
          <w:color w:val="000000"/>
          <w:sz w:val="26"/>
        </w:rPr>
        <w:t>1.2. Theo dõi, kiểm soát và bảo đảm chất lượng</w:t>
      </w:r>
    </w:p>
    <w:p>
      <w:pPr>
        <w:spacing w:before="0" w:after="40" w:line="300" w:lineRule="auto"/>
        <w:ind w:left="720"/>
        <w:jc w:val="left"/>
      </w:pPr>
      <w:r>
        <w:rPr>
          <w:rFonts w:ascii="Times New Roman" w:hAnsi="Times New Roman" w:eastAsia="Times New Roman" w:cs="Times New Roman"/>
          <w:b w:val="0"/>
          <w:i w:val="0"/>
          <w:caps w:val="0"/>
          <w:color w:val="000000"/>
          <w:sz w:val="26"/>
        </w:rPr>
        <w:t>1.2.1. Họp tiến độ hằng tuần, trình diễn và báo cáo cuối sprint</w:t>
      </w:r>
    </w:p>
    <w:p>
      <w:pPr>
        <w:spacing w:before="0" w:after="40" w:line="300" w:lineRule="auto"/>
        <w:ind w:left="720"/>
        <w:jc w:val="left"/>
      </w:pPr>
      <w:r>
        <w:rPr>
          <w:rFonts w:ascii="Times New Roman" w:hAnsi="Times New Roman" w:eastAsia="Times New Roman" w:cs="Times New Roman"/>
          <w:b w:val="0"/>
          <w:i w:val="0"/>
          <w:caps w:val="0"/>
          <w:color w:val="000000"/>
          <w:sz w:val="26"/>
        </w:rPr>
        <w:t>1.2.2. Quản lý rủi ro, vấn đề và yêu cầu thay đổi đặc tả</w:t>
      </w:r>
    </w:p>
    <w:p>
      <w:pPr>
        <w:spacing w:before="0" w:after="40" w:line="300" w:lineRule="auto"/>
        <w:ind w:left="720"/>
        <w:jc w:val="left"/>
      </w:pPr>
      <w:r>
        <w:rPr>
          <w:rFonts w:ascii="Times New Roman" w:hAnsi="Times New Roman" w:eastAsia="Times New Roman" w:cs="Times New Roman"/>
          <w:b w:val="0"/>
          <w:i w:val="0"/>
          <w:caps w:val="0"/>
          <w:color w:val="000000"/>
          <w:sz w:val="26"/>
        </w:rPr>
        <w:t>1.2.3. Quản lý cấu hình, phiên bản tài liệu và hồ sơ dự án</w:t>
      </w:r>
    </w:p>
    <w:p>
      <w:pPr>
        <w:spacing w:before="0" w:after="40" w:line="300" w:lineRule="auto"/>
        <w:ind w:left="720"/>
        <w:jc w:val="left"/>
      </w:pPr>
      <w:r>
        <w:rPr>
          <w:rFonts w:ascii="Times New Roman" w:hAnsi="Times New Roman" w:eastAsia="Times New Roman" w:cs="Times New Roman"/>
          <w:b w:val="0"/>
          <w:i w:val="0"/>
          <w:caps w:val="0"/>
          <w:color w:val="000000"/>
          <w:sz w:val="26"/>
        </w:rPr>
        <w:t>1.2.4. Rà soát mã nguồn và kiến trúc giai đoạn lập trình phân hệ</w:t>
      </w:r>
    </w:p>
    <w:p>
      <w:pPr>
        <w:spacing w:before="0" w:after="40" w:line="300" w:lineRule="auto"/>
        <w:ind w:left="720"/>
        <w:jc w:val="left"/>
      </w:pPr>
      <w:r>
        <w:rPr>
          <w:rFonts w:ascii="Times New Roman" w:hAnsi="Times New Roman" w:eastAsia="Times New Roman" w:cs="Times New Roman"/>
          <w:b w:val="0"/>
          <w:i w:val="0"/>
          <w:caps w:val="0"/>
          <w:color w:val="000000"/>
          <w:sz w:val="26"/>
        </w:rPr>
        <w:t>1.2.5. Rà soát giấy phép thư viện mã nguồn mở và quyền sở hữu sản phẩm</w:t>
      </w:r>
    </w:p>
    <w:p>
      <w:pPr>
        <w:spacing w:before="0" w:after="40" w:line="300" w:lineRule="auto"/>
        <w:ind w:left="360"/>
        <w:jc w:val="left"/>
      </w:pPr>
      <w:r>
        <w:rPr>
          <w:rFonts w:ascii="Times New Roman" w:hAnsi="Times New Roman" w:eastAsia="Times New Roman" w:cs="Times New Roman"/>
          <w:b/>
          <w:i w:val="0"/>
          <w:caps w:val="0"/>
          <w:color w:val="000000"/>
          <w:sz w:val="26"/>
        </w:rPr>
        <w:t>1.3. Nghiệm thu và kết thúc dự án</w:t>
      </w:r>
    </w:p>
    <w:p>
      <w:pPr>
        <w:spacing w:before="0" w:after="40" w:line="300" w:lineRule="auto"/>
        <w:ind w:left="720"/>
        <w:jc w:val="left"/>
      </w:pPr>
      <w:r>
        <w:rPr>
          <w:rFonts w:ascii="Times New Roman" w:hAnsi="Times New Roman" w:eastAsia="Times New Roman" w:cs="Times New Roman"/>
          <w:b w:val="0"/>
          <w:i w:val="0"/>
          <w:caps w:val="0"/>
          <w:color w:val="000000"/>
          <w:sz w:val="26"/>
        </w:rPr>
        <w:t>1.3.1. Hồ sơ nghiệm thu và thanh toán theo các đợt của hợp đồng</w:t>
      </w:r>
    </w:p>
    <w:p>
      <w:pPr>
        <w:spacing w:before="0" w:after="40" w:line="300" w:lineRule="auto"/>
        <w:ind w:left="720"/>
        <w:jc w:val="left"/>
      </w:pPr>
      <w:r>
        <w:rPr>
          <w:rFonts w:ascii="Times New Roman" w:hAnsi="Times New Roman" w:eastAsia="Times New Roman" w:cs="Times New Roman"/>
          <w:b w:val="0"/>
          <w:i w:val="0"/>
          <w:caps w:val="0"/>
          <w:color w:val="000000"/>
          <w:sz w:val="26"/>
        </w:rPr>
        <w:t>1.3.2. Chủ đầu tư kiểm tra chức năng chính và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1.3.3. Báo cáo tổng kết, bài học kinh nghiệm và bàn giao hồ sơ dự án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1.1</w:t>
            </w:r>
          </w:p>
        </w:tc>
        <w:tc>
          <w:tcPr>
            <w:tcW w:type="dxa" w:w="3600"/>
          </w:tcPr>
          <w:p>
            <w:pPr>
              <w:spacing w:before="0" w:after="40"/>
              <w:jc w:val="left"/>
            </w:pPr>
            <w:r>
              <w:rPr>
                <w:rFonts w:ascii="Times New Roman" w:hAnsi="Times New Roman" w:eastAsia="Times New Roman" w:cs="Times New Roman"/>
                <w:b/>
                <w:i w:val="0"/>
                <w:caps w:val="0"/>
                <w:color w:val="000000"/>
                <w:sz w:val="24"/>
              </w:rPr>
              <w:t>Khởi động và lập kế hoạch</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13,50</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1.1.1</w:t>
            </w:r>
          </w:p>
        </w:tc>
        <w:tc>
          <w:tcPr>
            <w:tcW w:type="dxa" w:w="3600"/>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họp khởi động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1.1.2</w:t>
            </w:r>
          </w:p>
        </w:tc>
        <w:tc>
          <w:tcPr>
            <w:tcW w:type="dxa" w:w="3600"/>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Kế hoạch quản lý dự án gồm sổ rủi ro ban đầu và quy trình thay đổi</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1.1.3</w:t>
            </w:r>
          </w:p>
        </w:tc>
        <w:tc>
          <w:tcPr>
            <w:tcW w:type="dxa" w:w="3600"/>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2,50</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Sổ rủi ro, kế hoạch quản lý thay đổi và cấu hình cập nhật theo đường cơ sở đặc tả</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1.1.4</w:t>
            </w:r>
          </w:p>
        </w:tc>
        <w:tc>
          <w:tcPr>
            <w:tcW w:type="dxa" w:w="3600"/>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Kế hoạch bảo đảm chất lượng và tiêu chí hoàn thành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1.1.5</w:t>
            </w:r>
          </w:p>
        </w:tc>
        <w:tc>
          <w:tcPr>
            <w:tcW w:type="dxa" w:w="3600"/>
          </w:tcPr>
          <w:p>
            <w:pPr>
              <w:spacing w:before="0" w:after="40"/>
              <w:jc w:val="left"/>
            </w:pPr>
            <w:r>
              <w:rPr>
                <w:rFonts w:ascii="Times New Roman" w:hAnsi="Times New Roman" w:eastAsia="Times New Roman" w:cs="Times New Roman"/>
                <w:b w:val="0"/>
                <w:i w:val="0"/>
                <w:caps w:val="0"/>
                <w:color w:val="000000"/>
                <w:sz w:val="24"/>
              </w:rPr>
              <w:t>Chủ đầu tư xem xét, xác nhận kế hoạch quản lý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r>
      <w:tr>
        <w:tc>
          <w:tcPr>
            <w:tcW w:type="dxa" w:w="1000"/>
          </w:tcPr>
          <w:p>
            <w:pPr>
              <w:spacing w:before="0" w:after="40"/>
              <w:jc w:val="left"/>
            </w:pPr>
            <w:r>
              <w:rPr>
                <w:rFonts w:ascii="Times New Roman" w:hAnsi="Times New Roman" w:eastAsia="Times New Roman" w:cs="Times New Roman"/>
                <w:b/>
                <w:i w:val="0"/>
                <w:caps w:val="0"/>
                <w:color w:val="000000"/>
                <w:sz w:val="24"/>
              </w:rPr>
              <w:t>1.2</w:t>
            </w:r>
          </w:p>
        </w:tc>
        <w:tc>
          <w:tcPr>
            <w:tcW w:type="dxa" w:w="3600"/>
          </w:tcPr>
          <w:p>
            <w:pPr>
              <w:spacing w:before="0" w:after="40"/>
              <w:jc w:val="left"/>
            </w:pPr>
            <w:r>
              <w:rPr>
                <w:rFonts w:ascii="Times New Roman" w:hAnsi="Times New Roman" w:eastAsia="Times New Roman" w:cs="Times New Roman"/>
                <w:b/>
                <w:i w:val="0"/>
                <w:caps w:val="0"/>
                <w:color w:val="000000"/>
                <w:sz w:val="24"/>
              </w:rPr>
              <w:t>Theo dõi, kiểm soát và bảo đảm chất lượng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33,50</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1.2.1</w:t>
            </w:r>
          </w:p>
        </w:tc>
        <w:tc>
          <w:tcPr>
            <w:tcW w:type="dxa" w:w="36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14</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1.2.2</w:t>
            </w:r>
          </w:p>
        </w:tc>
        <w:tc>
          <w:tcPr>
            <w:tcW w:type="dxa" w:w="36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1.2.3</w:t>
            </w:r>
          </w:p>
        </w:tc>
        <w:tc>
          <w:tcPr>
            <w:tcW w:type="dxa" w:w="36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và hồ sơ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4,50</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1.2.4</w:t>
            </w:r>
          </w:p>
        </w:tc>
        <w:tc>
          <w:tcPr>
            <w:tcW w:type="dxa" w:w="3600"/>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rà soát mã nguồn, danh sách khắc phục</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1.2.5</w:t>
            </w:r>
          </w:p>
        </w:tc>
        <w:tc>
          <w:tcPr>
            <w:tcW w:type="dxa" w:w="3600"/>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và quyền sở hữu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Danh mục thư viện kèm giấy phép đã rà soát</w:t>
            </w:r>
          </w:p>
        </w:tc>
      </w:tr>
      <w:tr>
        <w:tc>
          <w:tcPr>
            <w:tcW w:type="dxa" w:w="1000"/>
          </w:tcPr>
          <w:p>
            <w:pPr>
              <w:spacing w:before="0" w:after="40"/>
              <w:jc w:val="left"/>
            </w:pPr>
            <w:r>
              <w:rPr>
                <w:rFonts w:ascii="Times New Roman" w:hAnsi="Times New Roman" w:eastAsia="Times New Roman" w:cs="Times New Roman"/>
                <w:b/>
                <w:i w:val="0"/>
                <w:caps w:val="0"/>
                <w:color w:val="000000"/>
                <w:sz w:val="24"/>
              </w:rPr>
              <w:t>1.3</w:t>
            </w:r>
          </w:p>
        </w:tc>
        <w:tc>
          <w:tcPr>
            <w:tcW w:type="dxa" w:w="3600"/>
          </w:tcPr>
          <w:p>
            <w:pPr>
              <w:spacing w:before="0" w:after="40"/>
              <w:jc w:val="left"/>
            </w:pPr>
            <w:r>
              <w:rPr>
                <w:rFonts w:ascii="Times New Roman" w:hAnsi="Times New Roman" w:eastAsia="Times New Roman" w:cs="Times New Roman"/>
                <w:b/>
                <w:i w:val="0"/>
                <w:caps w:val="0"/>
                <w:color w:val="000000"/>
                <w:sz w:val="24"/>
              </w:rPr>
              <w:t>Nghiệm thu và kết thúc dự án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13</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1.3.1</w:t>
            </w:r>
          </w:p>
        </w:tc>
        <w:tc>
          <w:tcPr>
            <w:tcW w:type="dxa" w:w="3600"/>
          </w:tcPr>
          <w:p>
            <w:pPr>
              <w:spacing w:before="0" w:after="40"/>
              <w:jc w:val="left"/>
            </w:pPr>
            <w:r>
              <w:rPr>
                <w:rFonts w:ascii="Times New Roman" w:hAnsi="Times New Roman" w:eastAsia="Times New Roman" w:cs="Times New Roman"/>
                <w:b w:val="0"/>
                <w:i w:val="0"/>
                <w:caps w:val="0"/>
                <w:color w:val="000000"/>
                <w:sz w:val="24"/>
              </w:rPr>
              <w:t>Hồ sơ nghiệm thu và thanh toán theo các đợt của hợp đồng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nghiệm thu và hồ sơ thanh toán từng đợt</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1.3.2</w:t>
            </w:r>
          </w:p>
        </w:tc>
        <w:tc>
          <w:tcPr>
            <w:tcW w:type="dxa" w:w="3600"/>
          </w:tcPr>
          <w:p>
            <w:pPr>
              <w:spacing w:before="0" w:after="40"/>
              <w:jc w:val="left"/>
            </w:pPr>
            <w:r>
              <w:rPr>
                <w:rFonts w:ascii="Times New Roman" w:hAnsi="Times New Roman" w:eastAsia="Times New Roman" w:cs="Times New Roman"/>
                <w:b w:val="0"/>
                <w:i w:val="0"/>
                <w:caps w:val="0"/>
                <w:color w:val="000000"/>
                <w:sz w:val="24"/>
              </w:rPr>
              <w:t>Chủ đầu tư kiểm tra chức năng chính và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Chủ đầu tư kiểm tra đạt các chức năng chính và tích hợp với Main System</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1.3.3</w:t>
            </w:r>
          </w:p>
        </w:tc>
        <w:tc>
          <w:tcPr>
            <w:tcW w:type="dxa" w:w="3600"/>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PM</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 biên bản bàn giao hồ sơ</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60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13,50 cộng 33,50 cộng 13, bằng 60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1, Quản lý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1 - Quản lý dự án</dc:title>
  <dc:subject/>
  <dc:creator>Trần Bá Đạt</dc:creator>
  <cp:keywords/>
  <dc:description/>
  <cp:lastModifiedBy>Trần Bá Đạt</cp:lastModifiedBy>
  <cp:revision>1</cp:revision>
  <dcterms:created xsi:type="dcterms:W3CDTF">2026-10-18T07:29:00Z</dcterms:created>
  <dcterms:modified xsi:type="dcterms:W3CDTF">2026-10-18T07:29:00Z</dcterms:modified>
  <cp:category/>
</cp:coreProperties>
</file>