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Kế hoạch quản lý rủi ro</w:t>
      </w:r>
    </w:p>
    <w:p>
      <w:pPr>
        <w:spacing w:before="0" w:after="120"/>
        <w:jc w:val="center"/>
      </w:pPr>
      <w:r>
        <w:rPr>
          <w:rFonts w:ascii="Times New Roman" w:hAnsi="Times New Roman" w:eastAsia="Times New Roman" w:cs="Times New Roman"/>
          <w:b w:val="0"/>
          <w:i w:val="0"/>
          <w:caps w:val="0"/>
          <w:color w:val="000000"/>
          <w:sz w:val="28"/>
        </w:rPr>
        <w:t>Risk management plan</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2.3</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27/05/2027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phạm vi</w:t>
      </w:r>
    </w:p>
    <w:p>
      <w:pPr>
        <w:spacing w:before="0" w:after="40" w:line="276" w:lineRule="auto"/>
        <w:jc w:val="left"/>
      </w:pPr>
      <w:r>
        <w:rPr>
          <w:rFonts w:ascii="Times New Roman" w:hAnsi="Times New Roman" w:eastAsia="Times New Roman" w:cs="Times New Roman"/>
          <w:b w:val="0"/>
          <w:i w:val="0"/>
          <w:caps w:val="0"/>
          <w:color w:val="000000"/>
          <w:sz w:val="26"/>
        </w:rPr>
        <w:t>2. Tổ chức và trách nhiệm</w:t>
      </w:r>
    </w:p>
    <w:p>
      <w:pPr>
        <w:spacing w:before="0" w:after="40" w:line="276" w:lineRule="auto"/>
        <w:jc w:val="left"/>
      </w:pPr>
      <w:r>
        <w:rPr>
          <w:rFonts w:ascii="Times New Roman" w:hAnsi="Times New Roman" w:eastAsia="Times New Roman" w:cs="Times New Roman"/>
          <w:b w:val="0"/>
          <w:i w:val="0"/>
          <w:caps w:val="0"/>
          <w:color w:val="000000"/>
          <w:sz w:val="26"/>
        </w:rPr>
        <w:t>3. Phương pháp và thang đo</w:t>
      </w:r>
    </w:p>
    <w:p>
      <w:pPr>
        <w:spacing w:before="0" w:after="40" w:line="276" w:lineRule="auto"/>
        <w:jc w:val="left"/>
      </w:pPr>
      <w:r>
        <w:rPr>
          <w:rFonts w:ascii="Times New Roman" w:hAnsi="Times New Roman" w:eastAsia="Times New Roman" w:cs="Times New Roman"/>
          <w:b w:val="0"/>
          <w:i w:val="0"/>
          <w:caps w:val="0"/>
          <w:color w:val="000000"/>
          <w:sz w:val="26"/>
        </w:rPr>
        <w:t>3.1. Thang xác suất</w:t>
      </w:r>
    </w:p>
    <w:p>
      <w:pPr>
        <w:spacing w:before="0" w:after="40" w:line="276" w:lineRule="auto"/>
        <w:jc w:val="left"/>
      </w:pPr>
      <w:r>
        <w:rPr>
          <w:rFonts w:ascii="Times New Roman" w:hAnsi="Times New Roman" w:eastAsia="Times New Roman" w:cs="Times New Roman"/>
          <w:b w:val="0"/>
          <w:i w:val="0"/>
          <w:caps w:val="0"/>
          <w:color w:val="000000"/>
          <w:sz w:val="26"/>
        </w:rPr>
        <w:t>3.2. Thang tác động</w:t>
      </w:r>
    </w:p>
    <w:p>
      <w:pPr>
        <w:spacing w:before="0" w:after="40" w:line="276" w:lineRule="auto"/>
        <w:jc w:val="left"/>
      </w:pPr>
      <w:r>
        <w:rPr>
          <w:rFonts w:ascii="Times New Roman" w:hAnsi="Times New Roman" w:eastAsia="Times New Roman" w:cs="Times New Roman"/>
          <w:b w:val="0"/>
          <w:i w:val="0"/>
          <w:caps w:val="0"/>
          <w:color w:val="000000"/>
          <w:sz w:val="26"/>
        </w:rPr>
        <w:t>3.3. Phân mức rủi ro</w:t>
      </w:r>
    </w:p>
    <w:p>
      <w:pPr>
        <w:spacing w:before="0" w:after="40" w:line="276" w:lineRule="auto"/>
        <w:jc w:val="left"/>
      </w:pPr>
      <w:r>
        <w:rPr>
          <w:rFonts w:ascii="Times New Roman" w:hAnsi="Times New Roman" w:eastAsia="Times New Roman" w:cs="Times New Roman"/>
          <w:b w:val="0"/>
          <w:i w:val="0"/>
          <w:caps w:val="0"/>
          <w:color w:val="000000"/>
          <w:sz w:val="26"/>
        </w:rPr>
        <w:t>3.4. Quy đổi sang ma trận 3x3</w:t>
      </w:r>
    </w:p>
    <w:p>
      <w:pPr>
        <w:spacing w:before="0" w:after="40" w:line="276" w:lineRule="auto"/>
        <w:jc w:val="left"/>
      </w:pPr>
      <w:r>
        <w:rPr>
          <w:rFonts w:ascii="Times New Roman" w:hAnsi="Times New Roman" w:eastAsia="Times New Roman" w:cs="Times New Roman"/>
          <w:b w:val="0"/>
          <w:i w:val="0"/>
          <w:caps w:val="0"/>
          <w:color w:val="000000"/>
          <w:sz w:val="26"/>
        </w:rPr>
        <w:t>4. Sổ đăng ký rủi ro</w:t>
      </w:r>
    </w:p>
    <w:p>
      <w:pPr>
        <w:spacing w:before="0" w:after="40" w:line="276" w:lineRule="auto"/>
        <w:jc w:val="left"/>
      </w:pPr>
      <w:r>
        <w:rPr>
          <w:rFonts w:ascii="Times New Roman" w:hAnsi="Times New Roman" w:eastAsia="Times New Roman" w:cs="Times New Roman"/>
          <w:b w:val="0"/>
          <w:i w:val="0"/>
          <w:caps w:val="0"/>
          <w:color w:val="000000"/>
          <w:sz w:val="26"/>
        </w:rPr>
        <w:t>5. Ma trận xác suất và tác động</w:t>
      </w:r>
    </w:p>
    <w:p>
      <w:pPr>
        <w:spacing w:before="0" w:after="40" w:line="276" w:lineRule="auto"/>
        <w:jc w:val="left"/>
      </w:pPr>
      <w:r>
        <w:rPr>
          <w:rFonts w:ascii="Times New Roman" w:hAnsi="Times New Roman" w:eastAsia="Times New Roman" w:cs="Times New Roman"/>
          <w:b w:val="0"/>
          <w:i w:val="0"/>
          <w:caps w:val="0"/>
          <w:color w:val="000000"/>
          <w:sz w:val="26"/>
        </w:rPr>
        <w:t>5.1. Ma trận 5x5</w:t>
      </w:r>
    </w:p>
    <w:p>
      <w:pPr>
        <w:spacing w:before="0" w:after="40" w:line="276" w:lineRule="auto"/>
        <w:jc w:val="left"/>
      </w:pPr>
      <w:r>
        <w:rPr>
          <w:rFonts w:ascii="Times New Roman" w:hAnsi="Times New Roman" w:eastAsia="Times New Roman" w:cs="Times New Roman"/>
          <w:b w:val="0"/>
          <w:i w:val="0"/>
          <w:caps w:val="0"/>
          <w:color w:val="000000"/>
          <w:sz w:val="26"/>
        </w:rPr>
        <w:t>5.2. Ma trận 3x3 và hạng A, B, C</w:t>
      </w:r>
    </w:p>
    <w:p>
      <w:pPr>
        <w:spacing w:before="0" w:after="40" w:line="276" w:lineRule="auto"/>
        <w:jc w:val="left"/>
      </w:pPr>
      <w:r>
        <w:rPr>
          <w:rFonts w:ascii="Times New Roman" w:hAnsi="Times New Roman" w:eastAsia="Times New Roman" w:cs="Times New Roman"/>
          <w:b w:val="0"/>
          <w:i w:val="0"/>
          <w:caps w:val="0"/>
          <w:color w:val="000000"/>
          <w:sz w:val="26"/>
        </w:rPr>
        <w:t>6. Biện pháp ứng phó</w:t>
      </w:r>
    </w:p>
    <w:p>
      <w:pPr>
        <w:spacing w:before="0" w:after="40" w:line="276" w:lineRule="auto"/>
        <w:jc w:val="left"/>
      </w:pPr>
      <w:r>
        <w:rPr>
          <w:rFonts w:ascii="Times New Roman" w:hAnsi="Times New Roman" w:eastAsia="Times New Roman" w:cs="Times New Roman"/>
          <w:b w:val="0"/>
          <w:i w:val="0"/>
          <w:caps w:val="0"/>
          <w:color w:val="000000"/>
          <w:sz w:val="26"/>
        </w:rPr>
        <w:t>6.1. Rủi ro mức cao</w:t>
      </w:r>
    </w:p>
    <w:p>
      <w:pPr>
        <w:spacing w:before="0" w:after="40" w:line="276" w:lineRule="auto"/>
        <w:jc w:val="left"/>
      </w:pPr>
      <w:r>
        <w:rPr>
          <w:rFonts w:ascii="Times New Roman" w:hAnsi="Times New Roman" w:eastAsia="Times New Roman" w:cs="Times New Roman"/>
          <w:b w:val="0"/>
          <w:i w:val="0"/>
          <w:caps w:val="0"/>
          <w:color w:val="000000"/>
          <w:sz w:val="26"/>
        </w:rPr>
        <w:t>6.2. Rủi ro mức trung bình và thấp</w:t>
      </w:r>
    </w:p>
    <w:p>
      <w:pPr>
        <w:spacing w:before="0" w:after="40" w:line="276" w:lineRule="auto"/>
        <w:jc w:val="left"/>
      </w:pPr>
      <w:r>
        <w:rPr>
          <w:rFonts w:ascii="Times New Roman" w:hAnsi="Times New Roman" w:eastAsia="Times New Roman" w:cs="Times New Roman"/>
          <w:b w:val="0"/>
          <w:i w:val="0"/>
          <w:caps w:val="0"/>
          <w:color w:val="000000"/>
          <w:sz w:val="26"/>
        </w:rPr>
        <w:t>7. Dự phòng thời gian và chi phí</w:t>
      </w:r>
    </w:p>
    <w:p>
      <w:pPr>
        <w:spacing w:before="0" w:after="40" w:line="276" w:lineRule="auto"/>
        <w:jc w:val="left"/>
      </w:pPr>
      <w:r>
        <w:rPr>
          <w:rFonts w:ascii="Times New Roman" w:hAnsi="Times New Roman" w:eastAsia="Times New Roman" w:cs="Times New Roman"/>
          <w:b w:val="0"/>
          <w:i w:val="0"/>
          <w:caps w:val="0"/>
          <w:color w:val="000000"/>
          <w:sz w:val="26"/>
        </w:rPr>
        <w:t>8. Theo dõi, ngưỡng cảnh báo và báo cáo</w:t>
      </w:r>
    </w:p>
    <w:p>
      <w:pPr>
        <w:spacing w:before="0" w:after="40" w:line="276" w:lineRule="auto"/>
        <w:jc w:val="left"/>
      </w:pPr>
      <w:r>
        <w:rPr>
          <w:rFonts w:ascii="Times New Roman" w:hAnsi="Times New Roman" w:eastAsia="Times New Roman" w:cs="Times New Roman"/>
          <w:b w:val="0"/>
          <w:i w:val="0"/>
          <w:caps w:val="0"/>
          <w:color w:val="000000"/>
          <w:sz w:val="26"/>
        </w:rPr>
        <w:t>9. Quan hệ với quản lý thay đổi</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phạm vi</w:t>
      </w:r>
    </w:p>
    <w:p>
      <w:pPr>
        <w:spacing w:before="0" w:after="100" w:line="300" w:lineRule="auto"/>
        <w:jc w:val="both"/>
      </w:pPr>
      <w:r>
        <w:rPr>
          <w:rFonts w:ascii="Times New Roman" w:hAnsi="Times New Roman" w:eastAsia="Times New Roman" w:cs="Times New Roman"/>
          <w:b w:val="0"/>
          <w:i w:val="0"/>
          <w:caps w:val="0"/>
          <w:color w:val="000000"/>
          <w:sz w:val="26"/>
        </w:rPr>
        <w:t>Kế hoạch quản lý rủi ro quy định cách nhận diện, phân tích, ứng phó và theo dõi các rủi ro và cơ hội của dự án xây dựng và triển khai hệ thống website bán hàng trực tuyến (Web Selling Site System) cho Công ty Cổ phần ABC Wear. Kế hoạch áp dụng cho toàn bộ vòng đời dự án, từ ngày bắt đầu 18/03/2027 đến ngày cut over 29/07/2027, và tiếp tục áp dụng cho các rủi ro còn mở trong thời hạn bảo hành theo hợp đồng.</w:t>
      </w:r>
    </w:p>
    <w:p>
      <w:pPr>
        <w:spacing w:before="0" w:after="100" w:line="300" w:lineRule="auto"/>
        <w:jc w:val="both"/>
      </w:pPr>
      <w:r>
        <w:rPr>
          <w:rFonts w:ascii="Times New Roman" w:hAnsi="Times New Roman" w:eastAsia="Times New Roman" w:cs="Times New Roman"/>
          <w:b w:val="0"/>
          <w:i w:val="0"/>
          <w:caps w:val="0"/>
          <w:color w:val="000000"/>
          <w:sz w:val="26"/>
        </w:rPr>
        <w:t>Kế hoạch là một phần của master plan. Các rủi ro gắn với gói WBS và mốc của master schedule, tiền tác động và EMV được đối chiếu với khoản dự phòng của cost estimate, còn mọi ứng phó làm thay đổi phạm vi, lịch hoặc chi phí được xử lý theo kế hoạch quản lý thay đổi.</w:t>
      </w:r>
    </w:p>
    <w:p>
      <w:pPr>
        <w:pStyle w:val="Heading1"/>
        <w:keepNext/>
        <w:spacing w:before="240" w:after="120"/>
        <w:jc w:val="left"/>
      </w:pPr>
      <w:r>
        <w:rPr>
          <w:rFonts w:ascii="Times New Roman" w:hAnsi="Times New Roman" w:eastAsia="Times New Roman" w:cs="Times New Roman"/>
          <w:b w:val="0"/>
          <w:i w:val="0"/>
          <w:caps w:val="0"/>
          <w:color w:val="000000"/>
          <w:sz w:val="30"/>
        </w:rPr>
        <w:t>2. Tổ chức và trách nhiệm</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200"/>
        <w:gridCol w:w="2600"/>
        <w:gridCol w:w="4500"/>
      </w:tblGrid>
      <w:tr>
        <w:trPr>
          <w:tblHeader w:val="true"/>
        </w:trPr>
        <w:tc>
          <w:tcPr>
            <w:tcW w:type="dxa" w:w="2200"/>
          </w:tcPr>
          <w:p>
            <w:pPr>
              <w:spacing w:before="0" w:after="40"/>
              <w:jc w:val="left"/>
            </w:pPr>
            <w:r>
              <w:rPr>
                <w:rFonts w:ascii="Times New Roman" w:hAnsi="Times New Roman" w:eastAsia="Times New Roman" w:cs="Times New Roman"/>
                <w:b w:val="0"/>
                <w:i w:val="0"/>
                <w:caps w:val="0"/>
                <w:color w:val="000000"/>
                <w:sz w:val="24"/>
              </w:rPr>
              <w:t>Vai trò</w:t>
            </w:r>
          </w:p>
        </w:tc>
        <w:tc>
          <w:tcPr>
            <w:tcW w:type="dxa" w:w="2600"/>
          </w:tcPr>
          <w:p>
            <w:pPr>
              <w:spacing w:before="0" w:after="40"/>
              <w:jc w:val="left"/>
            </w:pPr>
            <w:r>
              <w:rPr>
                <w:rFonts w:ascii="Times New Roman" w:hAnsi="Times New Roman" w:eastAsia="Times New Roman" w:cs="Times New Roman"/>
                <w:b w:val="0"/>
                <w:i w:val="0"/>
                <w:caps w:val="0"/>
                <w:color w:val="000000"/>
                <w:sz w:val="24"/>
              </w:rPr>
              <w:t>Người đảm nhận</w:t>
            </w:r>
          </w:p>
        </w:tc>
        <w:tc>
          <w:tcPr>
            <w:tcW w:type="dxa" w:w="4500"/>
          </w:tcPr>
          <w:p>
            <w:pPr>
              <w:spacing w:before="0" w:after="40"/>
              <w:jc w:val="left"/>
            </w:pPr>
            <w:r>
              <w:rPr>
                <w:rFonts w:ascii="Times New Roman" w:hAnsi="Times New Roman" w:eastAsia="Times New Roman" w:cs="Times New Roman"/>
                <w:b w:val="0"/>
                <w:i w:val="0"/>
                <w:caps w:val="0"/>
                <w:color w:val="000000"/>
                <w:sz w:val="24"/>
              </w:rPr>
              <w:t>Trách nhiệm</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Chủ trì quản lý rủi ro</w:t>
            </w:r>
          </w:p>
        </w:tc>
        <w:tc>
          <w:tcPr>
            <w:tcW w:type="dxa" w:w="2600"/>
          </w:tcPr>
          <w:p>
            <w:pPr>
              <w:spacing w:before="0" w:after="40"/>
              <w:jc w:val="left"/>
            </w:pPr>
            <w:r>
              <w:rPr>
                <w:rFonts w:ascii="Times New Roman" w:hAnsi="Times New Roman" w:eastAsia="Times New Roman" w:cs="Times New Roman"/>
                <w:b w:val="0"/>
                <w:i w:val="0"/>
                <w:caps w:val="0"/>
                <w:color w:val="000000"/>
                <w:sz w:val="24"/>
              </w:rPr>
              <w:t>Trần Bá Đạt, quản trị dự án</w:t>
            </w:r>
          </w:p>
        </w:tc>
        <w:tc>
          <w:tcPr>
            <w:tcW w:type="dxa" w:w="4500"/>
          </w:tcPr>
          <w:p>
            <w:pPr>
              <w:spacing w:before="0" w:after="40"/>
              <w:jc w:val="left"/>
            </w:pPr>
            <w:r>
              <w:rPr>
                <w:rFonts w:ascii="Times New Roman" w:hAnsi="Times New Roman" w:eastAsia="Times New Roman" w:cs="Times New Roman"/>
                <w:b w:val="0"/>
                <w:i w:val="0"/>
                <w:caps w:val="0"/>
                <w:color w:val="000000"/>
                <w:sz w:val="24"/>
              </w:rPr>
              <w:t>Duy trì sổ đăng ký rủi ro, chủ trì rà soát rủi ro trong các cuộc họp sprint, phê duyệt kích hoạt kế hoạch ứng phó, đề xuất dùng dự phòng và báo cáo rủi ro trong báo cáo tiến độ</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Người phụ trách rủi ro</w:t>
            </w:r>
          </w:p>
        </w:tc>
        <w:tc>
          <w:tcPr>
            <w:tcW w:type="dxa" w:w="2600"/>
          </w:tcPr>
          <w:p>
            <w:pPr>
              <w:spacing w:before="0" w:after="40"/>
              <w:jc w:val="left"/>
            </w:pPr>
            <w:r>
              <w:rPr>
                <w:rFonts w:ascii="Times New Roman" w:hAnsi="Times New Roman" w:eastAsia="Times New Roman" w:cs="Times New Roman"/>
                <w:b w:val="0"/>
                <w:i w:val="0"/>
                <w:caps w:val="0"/>
                <w:color w:val="000000"/>
                <w:sz w:val="24"/>
              </w:rPr>
              <w:t>Trần Bá Đạt, Phạm Tuấn Anh, Ninh Đức Toàn, Nguyễn Thị Phương Liên, Lê Quang Huy theo cột người phụ trách của sổ rủi ro</w:t>
            </w:r>
          </w:p>
        </w:tc>
        <w:tc>
          <w:tcPr>
            <w:tcW w:type="dxa" w:w="4500"/>
          </w:tcPr>
          <w:p>
            <w:pPr>
              <w:spacing w:before="0" w:after="40"/>
              <w:jc w:val="left"/>
            </w:pPr>
            <w:r>
              <w:rPr>
                <w:rFonts w:ascii="Times New Roman" w:hAnsi="Times New Roman" w:eastAsia="Times New Roman" w:cs="Times New Roman"/>
                <w:b w:val="0"/>
                <w:i w:val="0"/>
                <w:caps w:val="0"/>
                <w:color w:val="000000"/>
                <w:sz w:val="24"/>
              </w:rPr>
              <w:t>Theo dõi dấu hiệu, thực hiện biện pháp phòng ngừa và kế hoạch ứng phó của rủi ro được giao, cập nhật trạng thái và đề xuất đóng rủi ro khi đạt điều kiện đóng</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Nhóm phát triển và kiểm thử</w:t>
            </w:r>
          </w:p>
        </w:tc>
        <w:tc>
          <w:tcPr>
            <w:tcW w:type="dxa" w:w="2600"/>
          </w:tcPr>
          <w:p>
            <w:pPr>
              <w:spacing w:before="0" w:after="40"/>
              <w:jc w:val="left"/>
            </w:pPr>
            <w:r>
              <w:rPr>
                <w:rFonts w:ascii="Times New Roman" w:hAnsi="Times New Roman" w:eastAsia="Times New Roman" w:cs="Times New Roman"/>
                <w:b w:val="0"/>
                <w:i w:val="0"/>
                <w:caps w:val="0"/>
                <w:color w:val="000000"/>
                <w:sz w:val="24"/>
              </w:rPr>
              <w:t>Phạm Tuấn Anh, Ninh Đức Toàn, Vũ Đức Minh, Nguyễn Thị Phương Liên và bảy vị trí bổ sung Nguyễn Hoàng Nam, Lê Quang Huy, Đỗ Minh Quân, Bùi Anh Tuấn, Trần Thu Hà, Phạm Ngọc Anh, Trương Quốc Việt theo phân công</w:t>
            </w:r>
          </w:p>
        </w:tc>
        <w:tc>
          <w:tcPr>
            <w:tcW w:type="dxa" w:w="4500"/>
          </w:tcPr>
          <w:p>
            <w:pPr>
              <w:spacing w:before="0" w:after="40"/>
              <w:jc w:val="left"/>
            </w:pPr>
            <w:r>
              <w:rPr>
                <w:rFonts w:ascii="Times New Roman" w:hAnsi="Times New Roman" w:eastAsia="Times New Roman" w:cs="Times New Roman"/>
                <w:b w:val="0"/>
                <w:i w:val="0"/>
                <w:caps w:val="0"/>
                <w:color w:val="000000"/>
                <w:sz w:val="24"/>
              </w:rPr>
              <w:t>Báo cáo sớm dấu hiệu rủi ro phát sinh trong phát triển, tích hợp, kiểm thử và triển khai, đề xuất rủi ro mới cho quản trị dự án</w:t>
            </w:r>
          </w:p>
        </w:tc>
      </w:tr>
      <w:tr>
        <w:tc>
          <w:tcPr>
            <w:tcW w:type="dxa" w:w="22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2600"/>
          </w:tcPr>
          <w:p>
            <w:pPr>
              <w:spacing w:before="0" w:after="40"/>
              <w:jc w:val="left"/>
            </w:pPr>
            <w:r>
              <w:rPr>
                <w:rFonts w:ascii="Times New Roman" w:hAnsi="Times New Roman" w:eastAsia="Times New Roman" w:cs="Times New Roman"/>
                <w:b w:val="0"/>
                <w:i w:val="0"/>
                <w:caps w:val="0"/>
                <w:color w:val="000000"/>
                <w:sz w:val="24"/>
              </w:rPr>
              <w:t>Công ty Cổ phần ABC Wear, đầu mối Yamada, Phòng Kế hoạch</w:t>
            </w:r>
          </w:p>
        </w:tc>
        <w:tc>
          <w:tcPr>
            <w:tcW w:type="dxa" w:w="4500"/>
          </w:tcPr>
          <w:p>
            <w:pPr>
              <w:spacing w:before="0" w:after="40"/>
              <w:jc w:val="left"/>
            </w:pPr>
            <w:r>
              <w:rPr>
                <w:rFonts w:ascii="Times New Roman" w:hAnsi="Times New Roman" w:eastAsia="Times New Roman" w:cs="Times New Roman"/>
                <w:b w:val="0"/>
                <w:i w:val="0"/>
                <w:caps w:val="0"/>
                <w:color w:val="000000"/>
                <w:sz w:val="24"/>
              </w:rPr>
              <w:t>Phối hợp xử lý các rủi ro thuộc phía Chủ đầu tư như xác nhận đặc tả, bàn giao tài liệu và môi trường của Main System, hạ tầng máy chủ, dữ liệu chuyển đổi, nhận thông báo và tham gia quyết định khi ứng phó ảnh hưởng hợp đồng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Phương pháp và thang đo</w:t>
      </w:r>
    </w:p>
    <w:p>
      <w:pPr>
        <w:spacing w:before="0" w:after="100" w:line="300" w:lineRule="auto"/>
        <w:jc w:val="both"/>
      </w:pPr>
      <w:r>
        <w:rPr>
          <w:rFonts w:ascii="Times New Roman" w:hAnsi="Times New Roman" w:eastAsia="Times New Roman" w:cs="Times New Roman"/>
          <w:b w:val="0"/>
          <w:i w:val="0"/>
          <w:caps w:val="0"/>
          <w:color w:val="000000"/>
          <w:sz w:val="26"/>
        </w:rPr>
        <w:t>Quy trình quản lý rủi ro gồm các bước nhận diện, phân tích định tính theo điểm xác suất nhân tác động, phân tích định lượng theo EMV, lập kế hoạch ứng phó và theo dõi. Nguồn nhận diện gồm RFP, HSMT, WBS, đường găng của master schedule, bảng phân công và các bên liên quan. Sổ rủi ro được rà soát trong mỗi cuộc họp sprint, rủi ro mức cao được theo dõi hằng tuần.</w:t>
      </w:r>
    </w:p>
    <w:p>
      <w:pPr>
        <w:spacing w:before="0" w:after="100" w:line="300" w:lineRule="auto"/>
        <w:jc w:val="both"/>
      </w:pPr>
      <w:r>
        <w:rPr>
          <w:rFonts w:ascii="Times New Roman" w:hAnsi="Times New Roman" w:eastAsia="Times New Roman" w:cs="Times New Roman"/>
          <w:b w:val="0"/>
          <w:i w:val="0"/>
          <w:caps w:val="0"/>
          <w:color w:val="000000"/>
          <w:sz w:val="26"/>
        </w:rPr>
        <w:t>Mức tác động của mỗi rủi ro là mức cao nhất theo số ngày chậm, chi phí tác động so với giá chào và điều kiện về mốc, hợp đồng trong bảng thang tác động. Tiền tác động do script tính bằng MD tác động nhân đơn giá ngày của loại công việc, cộng phạt chậm theo E-ĐKC 15 khi rủi ro làm chậm mốc và khoản tiền thêm có ghi lý do.</w:t>
      </w:r>
    </w:p>
    <w:p>
      <w:pPr>
        <w:spacing w:before="0" w:after="100" w:line="300" w:lineRule="auto"/>
        <w:jc w:val="both"/>
      </w:pPr>
      <w:r>
        <w:rPr>
          <w:rFonts w:ascii="Times New Roman" w:hAnsi="Times New Roman" w:eastAsia="Times New Roman" w:cs="Times New Roman"/>
          <w:b w:val="0"/>
          <w:i w:val="0"/>
          <w:caps w:val="0"/>
          <w:color w:val="000000"/>
          <w:sz w:val="26"/>
        </w:rPr>
        <w:t>EMV là ước tính định hướng. Xác suất lấy giá trị đại diện của khoảng trong thang xác suất, mỗi rủi ro có căn cứ xác suất ghi trong sổ. Tổng EMV theo chi phí là 151 triệu đồng, khoảng từ 113 đến 189 triệu đồng theo cận của mức xác suất, dùng để so với dự phòng chi phí và dự trữ thời gian, không phải giá trị chắc chắn phát sinh.</w:t>
      </w:r>
    </w:p>
    <w:p>
      <w:pPr>
        <w:spacing w:before="0" w:after="100" w:line="300" w:lineRule="auto"/>
        <w:jc w:val="both"/>
      </w:pPr>
      <w:r>
        <w:rPr>
          <w:rFonts w:ascii="Times New Roman" w:hAnsi="Times New Roman" w:eastAsia="Times New Roman" w:cs="Times New Roman"/>
          <w:b w:val="0"/>
          <w:i w:val="0"/>
          <w:caps w:val="0"/>
          <w:color w:val="000000"/>
          <w:sz w:val="26"/>
        </w:rPr>
        <w:t>Kết quả thang 5 mức được đối chiếu với ma trận 3x3 xếp hạng A, B, C: mức 1 đến 2 quy về thấp, mức 3 quy về trung bình, mức 4 đến 5 quy về cao. Theo quy đổi này sổ có 6 rủi ro hạng A, 9 rủi ro hạng B và 7 rủi ro hạng C. Nhóm dùng thang 5 mức làm thang chính vì phân biệt rõ hơn giữa các rủi ro, có ngưỡng định lượng cho từng mức, tính được EMV để so với dự phòng và dự trữ, đồng thời vẫn quy đổi được về hạng A, B, C khi trình bày cho Chủ đầu tư.</w:t>
      </w:r>
    </w:p>
    <w:p>
      <w:pPr>
        <w:pStyle w:val="Heading2"/>
        <w:keepNext/>
        <w:spacing w:before="200" w:after="80"/>
        <w:jc w:val="left"/>
      </w:pPr>
      <w:r>
        <w:rPr>
          <w:rFonts w:ascii="Times New Roman" w:hAnsi="Times New Roman" w:eastAsia="Times New Roman" w:cs="Times New Roman"/>
          <w:b w:val="0"/>
          <w:i w:val="0"/>
          <w:caps w:val="0"/>
          <w:color w:val="000000"/>
          <w:sz w:val="26"/>
        </w:rPr>
        <w:t>3.1. Thang xác suất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3900"/>
        <w:gridCol w:w="2200"/>
        <w:gridCol w:w="24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Mức</w:t>
            </w:r>
          </w:p>
        </w:tc>
        <w:tc>
          <w:tcPr>
            <w:tcW w:type="dxa" w:w="3900"/>
          </w:tcPr>
          <w:p>
            <w:pPr>
              <w:spacing w:before="0" w:after="40"/>
              <w:jc w:val="left"/>
            </w:pPr>
            <w:r>
              <w:rPr>
                <w:rFonts w:ascii="Times New Roman" w:hAnsi="Times New Roman" w:eastAsia="Times New Roman" w:cs="Times New Roman"/>
                <w:b w:val="0"/>
                <w:i w:val="0"/>
                <w:caps w:val="0"/>
                <w:color w:val="000000"/>
                <w:sz w:val="24"/>
              </w:rPr>
              <w:t>Xác suất</w:t>
            </w:r>
          </w:p>
        </w:tc>
        <w:tc>
          <w:tcPr>
            <w:tcW w:type="dxa" w:w="2200"/>
          </w:tcPr>
          <w:p>
            <w:pPr>
              <w:spacing w:before="0" w:after="40"/>
              <w:jc w:val="center"/>
            </w:pPr>
            <w:r>
              <w:rPr>
                <w:rFonts w:ascii="Times New Roman" w:hAnsi="Times New Roman" w:eastAsia="Times New Roman" w:cs="Times New Roman"/>
                <w:b w:val="0"/>
                <w:i w:val="0"/>
                <w:caps w:val="0"/>
                <w:color w:val="000000"/>
                <w:sz w:val="24"/>
              </w:rPr>
              <w:t>Giá trị dùng tính EMV</w:t>
            </w:r>
          </w:p>
        </w:tc>
        <w:tc>
          <w:tcPr>
            <w:tcW w:type="dxa" w:w="2400"/>
          </w:tcPr>
          <w:p>
            <w:pPr>
              <w:spacing w:before="0" w:after="40"/>
              <w:jc w:val="center"/>
            </w:pPr>
            <w:r>
              <w:rPr>
                <w:rFonts w:ascii="Times New Roman" w:hAnsi="Times New Roman" w:eastAsia="Times New Roman" w:cs="Times New Roman"/>
                <w:b w:val="0"/>
                <w:i w:val="0"/>
                <w:caps w:val="0"/>
                <w:color w:val="000000"/>
                <w:sz w:val="24"/>
              </w:rPr>
              <w:t>Cận tính khoảng EMV</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1</w:t>
            </w:r>
          </w:p>
        </w:tc>
        <w:tc>
          <w:tcPr>
            <w:tcW w:type="dxa" w:w="3900"/>
          </w:tcPr>
          <w:p>
            <w:pPr>
              <w:spacing w:before="0" w:after="40"/>
              <w:jc w:val="left"/>
            </w:pPr>
            <w:r>
              <w:rPr>
                <w:rFonts w:ascii="Times New Roman" w:hAnsi="Times New Roman" w:eastAsia="Times New Roman" w:cs="Times New Roman"/>
                <w:b w:val="0"/>
                <w:i w:val="0"/>
                <w:caps w:val="0"/>
                <w:color w:val="000000"/>
                <w:sz w:val="24"/>
              </w:rPr>
              <w:t>Rất thấp, dưới 10%</w:t>
            </w:r>
          </w:p>
        </w:tc>
        <w:tc>
          <w:tcPr>
            <w:tcW w:type="dxa" w:w="2200"/>
          </w:tcPr>
          <w:p>
            <w:pPr>
              <w:spacing w:before="0" w:after="40"/>
              <w:jc w:val="center"/>
            </w:pPr>
            <w:r>
              <w:rPr>
                <w:rFonts w:ascii="Times New Roman" w:hAnsi="Times New Roman" w:eastAsia="Times New Roman" w:cs="Times New Roman"/>
                <w:b w:val="0"/>
                <w:i w:val="0"/>
                <w:caps w:val="0"/>
                <w:color w:val="000000"/>
                <w:sz w:val="24"/>
              </w:rPr>
              <w:t>5%</w:t>
            </w:r>
          </w:p>
        </w:tc>
        <w:tc>
          <w:tcPr>
            <w:tcW w:type="dxa" w:w="2400"/>
          </w:tcPr>
          <w:p>
            <w:pPr>
              <w:spacing w:before="0" w:after="40"/>
              <w:jc w:val="center"/>
            </w:pPr>
            <w:r>
              <w:rPr>
                <w:rFonts w:ascii="Times New Roman" w:hAnsi="Times New Roman" w:eastAsia="Times New Roman" w:cs="Times New Roman"/>
                <w:b w:val="0"/>
                <w:i w:val="0"/>
                <w:caps w:val="0"/>
                <w:color w:val="000000"/>
                <w:sz w:val="24"/>
              </w:rPr>
              <w:t>0% đến 10%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2</w:t>
            </w:r>
          </w:p>
        </w:tc>
        <w:tc>
          <w:tcPr>
            <w:tcW w:type="dxa" w:w="3900"/>
          </w:tcPr>
          <w:p>
            <w:pPr>
              <w:spacing w:before="0" w:after="40"/>
              <w:jc w:val="left"/>
            </w:pPr>
            <w:r>
              <w:rPr>
                <w:rFonts w:ascii="Times New Roman" w:hAnsi="Times New Roman" w:eastAsia="Times New Roman" w:cs="Times New Roman"/>
                <w:b w:val="0"/>
                <w:i w:val="0"/>
                <w:caps w:val="0"/>
                <w:color w:val="000000"/>
                <w:sz w:val="24"/>
              </w:rPr>
              <w:t>Thấp, 10% đến 30%</w:t>
            </w:r>
          </w:p>
        </w:tc>
        <w:tc>
          <w:tcPr>
            <w:tcW w:type="dxa" w:w="2200"/>
          </w:tcPr>
          <w:p>
            <w:pPr>
              <w:spacing w:before="0" w:after="40"/>
              <w:jc w:val="center"/>
            </w:pPr>
            <w:r>
              <w:rPr>
                <w:rFonts w:ascii="Times New Roman" w:hAnsi="Times New Roman" w:eastAsia="Times New Roman" w:cs="Times New Roman"/>
                <w:b w:val="0"/>
                <w:i w:val="0"/>
                <w:caps w:val="0"/>
                <w:color w:val="000000"/>
                <w:sz w:val="24"/>
              </w:rPr>
              <w:t>20%</w:t>
            </w:r>
          </w:p>
        </w:tc>
        <w:tc>
          <w:tcPr>
            <w:tcW w:type="dxa" w:w="2400"/>
          </w:tcPr>
          <w:p>
            <w:pPr>
              <w:spacing w:before="0" w:after="40"/>
              <w:jc w:val="center"/>
            </w:pPr>
            <w:r>
              <w:rPr>
                <w:rFonts w:ascii="Times New Roman" w:hAnsi="Times New Roman" w:eastAsia="Times New Roman" w:cs="Times New Roman"/>
                <w:b w:val="0"/>
                <w:i w:val="0"/>
                <w:caps w:val="0"/>
                <w:color w:val="000000"/>
                <w:sz w:val="24"/>
              </w:rPr>
              <w:t>10% đến 30%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3</w:t>
            </w:r>
          </w:p>
        </w:tc>
        <w:tc>
          <w:tcPr>
            <w:tcW w:type="dxa" w:w="3900"/>
          </w:tcPr>
          <w:p>
            <w:pPr>
              <w:spacing w:before="0" w:after="40"/>
              <w:jc w:val="left"/>
            </w:pPr>
            <w:r>
              <w:rPr>
                <w:rFonts w:ascii="Times New Roman" w:hAnsi="Times New Roman" w:eastAsia="Times New Roman" w:cs="Times New Roman"/>
                <w:b w:val="0"/>
                <w:i w:val="0"/>
                <w:caps w:val="0"/>
                <w:color w:val="000000"/>
                <w:sz w:val="24"/>
              </w:rPr>
              <w:t>Trung bình, 30% đến 50%</w:t>
            </w:r>
          </w:p>
        </w:tc>
        <w:tc>
          <w:tcPr>
            <w:tcW w:type="dxa" w:w="2200"/>
          </w:tcPr>
          <w:p>
            <w:pPr>
              <w:spacing w:before="0" w:after="40"/>
              <w:jc w:val="center"/>
            </w:pPr>
            <w:r>
              <w:rPr>
                <w:rFonts w:ascii="Times New Roman" w:hAnsi="Times New Roman" w:eastAsia="Times New Roman" w:cs="Times New Roman"/>
                <w:b w:val="0"/>
                <w:i w:val="0"/>
                <w:caps w:val="0"/>
                <w:color w:val="000000"/>
                <w:sz w:val="24"/>
              </w:rPr>
              <w:t>40%</w:t>
            </w:r>
          </w:p>
        </w:tc>
        <w:tc>
          <w:tcPr>
            <w:tcW w:type="dxa" w:w="2400"/>
          </w:tcPr>
          <w:p>
            <w:pPr>
              <w:spacing w:before="0" w:after="40"/>
              <w:jc w:val="center"/>
            </w:pPr>
            <w:r>
              <w:rPr>
                <w:rFonts w:ascii="Times New Roman" w:hAnsi="Times New Roman" w:eastAsia="Times New Roman" w:cs="Times New Roman"/>
                <w:b w:val="0"/>
                <w:i w:val="0"/>
                <w:caps w:val="0"/>
                <w:color w:val="000000"/>
                <w:sz w:val="24"/>
              </w:rPr>
              <w:t>30% đến 50%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4</w:t>
            </w:r>
          </w:p>
        </w:tc>
        <w:tc>
          <w:tcPr>
            <w:tcW w:type="dxa" w:w="3900"/>
          </w:tcPr>
          <w:p>
            <w:pPr>
              <w:spacing w:before="0" w:after="40"/>
              <w:jc w:val="left"/>
            </w:pPr>
            <w:r>
              <w:rPr>
                <w:rFonts w:ascii="Times New Roman" w:hAnsi="Times New Roman" w:eastAsia="Times New Roman" w:cs="Times New Roman"/>
                <w:b w:val="0"/>
                <w:i w:val="0"/>
                <w:caps w:val="0"/>
                <w:color w:val="000000"/>
                <w:sz w:val="24"/>
              </w:rPr>
              <w:t>Cao, 50% đến 70%</w:t>
            </w:r>
          </w:p>
        </w:tc>
        <w:tc>
          <w:tcPr>
            <w:tcW w:type="dxa" w:w="2200"/>
          </w:tcPr>
          <w:p>
            <w:pPr>
              <w:spacing w:before="0" w:after="40"/>
              <w:jc w:val="center"/>
            </w:pPr>
            <w:r>
              <w:rPr>
                <w:rFonts w:ascii="Times New Roman" w:hAnsi="Times New Roman" w:eastAsia="Times New Roman" w:cs="Times New Roman"/>
                <w:b w:val="0"/>
                <w:i w:val="0"/>
                <w:caps w:val="0"/>
                <w:color w:val="000000"/>
                <w:sz w:val="24"/>
              </w:rPr>
              <w:t>60%</w:t>
            </w:r>
          </w:p>
        </w:tc>
        <w:tc>
          <w:tcPr>
            <w:tcW w:type="dxa" w:w="2400"/>
          </w:tcPr>
          <w:p>
            <w:pPr>
              <w:spacing w:before="0" w:after="40"/>
              <w:jc w:val="center"/>
            </w:pPr>
            <w:r>
              <w:rPr>
                <w:rFonts w:ascii="Times New Roman" w:hAnsi="Times New Roman" w:eastAsia="Times New Roman" w:cs="Times New Roman"/>
                <w:b w:val="0"/>
                <w:i w:val="0"/>
                <w:caps w:val="0"/>
                <w:color w:val="000000"/>
                <w:sz w:val="24"/>
              </w:rPr>
              <w:t>50% đến 70%</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5</w:t>
            </w:r>
          </w:p>
        </w:tc>
        <w:tc>
          <w:tcPr>
            <w:tcW w:type="dxa" w:w="3900"/>
          </w:tcPr>
          <w:p>
            <w:pPr>
              <w:spacing w:before="0" w:after="40"/>
              <w:jc w:val="left"/>
            </w:pPr>
            <w:r>
              <w:rPr>
                <w:rFonts w:ascii="Times New Roman" w:hAnsi="Times New Roman" w:eastAsia="Times New Roman" w:cs="Times New Roman"/>
                <w:b w:val="0"/>
                <w:i w:val="0"/>
                <w:caps w:val="0"/>
                <w:color w:val="000000"/>
                <w:sz w:val="24"/>
              </w:rPr>
              <w:t>Rất cao, trên 70%</w:t>
            </w:r>
          </w:p>
        </w:tc>
        <w:tc>
          <w:tcPr>
            <w:tcW w:type="dxa" w:w="2200"/>
          </w:tcPr>
          <w:p>
            <w:pPr>
              <w:spacing w:before="0" w:after="40"/>
              <w:jc w:val="center"/>
            </w:pPr>
            <w:r>
              <w:rPr>
                <w:rFonts w:ascii="Times New Roman" w:hAnsi="Times New Roman" w:eastAsia="Times New Roman" w:cs="Times New Roman"/>
                <w:b w:val="0"/>
                <w:i w:val="0"/>
                <w:caps w:val="0"/>
                <w:color w:val="000000"/>
                <w:sz w:val="24"/>
              </w:rPr>
              <w:t>80%</w:t>
            </w:r>
          </w:p>
        </w:tc>
        <w:tc>
          <w:tcPr>
            <w:tcW w:type="dxa" w:w="2400"/>
          </w:tcPr>
          <w:p>
            <w:pPr>
              <w:spacing w:before="0" w:after="40"/>
              <w:jc w:val="center"/>
            </w:pPr>
            <w:r>
              <w:rPr>
                <w:rFonts w:ascii="Times New Roman" w:hAnsi="Times New Roman" w:eastAsia="Times New Roman" w:cs="Times New Roman"/>
                <w:b w:val="0"/>
                <w:i w:val="0"/>
                <w:caps w:val="0"/>
                <w:color w:val="000000"/>
                <w:sz w:val="24"/>
              </w:rPr>
              <w:t>70% đến 90%</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3.2. Thang tác động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700"/>
        <w:gridCol w:w="1700"/>
        <w:gridCol w:w="1700"/>
        <w:gridCol w:w="25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Mức</w:t>
            </w:r>
          </w:p>
        </w:tc>
        <w:tc>
          <w:tcPr>
            <w:tcW w:type="dxa" w:w="2700"/>
          </w:tcPr>
          <w:p>
            <w:pPr>
              <w:spacing w:before="0" w:after="40"/>
              <w:jc w:val="left"/>
            </w:pPr>
            <w:r>
              <w:rPr>
                <w:rFonts w:ascii="Times New Roman" w:hAnsi="Times New Roman" w:eastAsia="Times New Roman" w:cs="Times New Roman"/>
                <w:b w:val="0"/>
                <w:i w:val="0"/>
                <w:caps w:val="0"/>
                <w:color w:val="000000"/>
                <w:sz w:val="24"/>
              </w:rPr>
              <w:t>Tác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Ngày chậm (ngày làm việc)</w:t>
            </w:r>
          </w:p>
        </w:tc>
        <w:tc>
          <w:tcPr>
            <w:tcW w:type="dxa" w:w="1700"/>
          </w:tcPr>
          <w:p>
            <w:pPr>
              <w:spacing w:before="0" w:after="40"/>
              <w:jc w:val="left"/>
            </w:pPr>
            <w:r>
              <w:rPr>
                <w:rFonts w:ascii="Times New Roman" w:hAnsi="Times New Roman" w:eastAsia="Times New Roman" w:cs="Times New Roman"/>
                <w:b w:val="0"/>
                <w:i w:val="0"/>
                <w:caps w:val="0"/>
                <w:color w:val="000000"/>
                <w:sz w:val="24"/>
              </w:rPr>
              <w:t>Chi phí trên giá chào</w:t>
            </w:r>
          </w:p>
        </w:tc>
        <w:tc>
          <w:tcPr>
            <w:tcW w:type="dxa" w:w="2500"/>
          </w:tcPr>
          <w:p>
            <w:pPr>
              <w:spacing w:before="0" w:after="40"/>
              <w:jc w:val="left"/>
            </w:pPr>
            <w:r>
              <w:rPr>
                <w:rFonts w:ascii="Times New Roman" w:hAnsi="Times New Roman" w:eastAsia="Times New Roman" w:cs="Times New Roman"/>
                <w:b w:val="0"/>
                <w:i w:val="0"/>
                <w:caps w:val="0"/>
                <w:color w:val="000000"/>
                <w:sz w:val="24"/>
              </w:rPr>
              <w:t>Điều kiện về mốc, hợp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1</w:t>
            </w:r>
          </w:p>
        </w:tc>
        <w:tc>
          <w:tcPr>
            <w:tcW w:type="dxa" w:w="2700"/>
          </w:tcPr>
          <w:p>
            <w:pPr>
              <w:spacing w:before="0" w:after="40"/>
              <w:jc w:val="left"/>
            </w:pPr>
            <w:r>
              <w:rPr>
                <w:rFonts w:ascii="Times New Roman" w:hAnsi="Times New Roman" w:eastAsia="Times New Roman" w:cs="Times New Roman"/>
                <w:b w:val="0"/>
                <w:i w:val="0"/>
                <w:caps w:val="0"/>
                <w:color w:val="000000"/>
                <w:sz w:val="24"/>
              </w:rPr>
              <w:t>Không đáng kể</w:t>
            </w:r>
          </w:p>
        </w:tc>
        <w:tc>
          <w:tcPr>
            <w:tcW w:type="dxa" w:w="1700"/>
          </w:tcPr>
          <w:p>
            <w:pPr>
              <w:spacing w:before="0" w:after="40"/>
              <w:jc w:val="left"/>
            </w:pPr>
            <w:r>
              <w:rPr>
                <w:rFonts w:ascii="Times New Roman" w:hAnsi="Times New Roman" w:eastAsia="Times New Roman" w:cs="Times New Roman"/>
                <w:b w:val="0"/>
                <w:i w:val="0"/>
                <w:caps w:val="0"/>
                <w:color w:val="000000"/>
                <w:sz w:val="24"/>
              </w:rPr>
              <w:t>dưới 1</w:t>
            </w:r>
          </w:p>
        </w:tc>
        <w:tc>
          <w:tcPr>
            <w:tcW w:type="dxa" w:w="1700"/>
          </w:tcPr>
          <w:p>
            <w:pPr>
              <w:spacing w:before="0" w:after="40"/>
              <w:jc w:val="left"/>
            </w:pPr>
            <w:r>
              <w:rPr>
                <w:rFonts w:ascii="Times New Roman" w:hAnsi="Times New Roman" w:eastAsia="Times New Roman" w:cs="Times New Roman"/>
                <w:b w:val="0"/>
                <w:i w:val="0"/>
                <w:caps w:val="0"/>
                <w:color w:val="000000"/>
                <w:sz w:val="24"/>
              </w:rPr>
              <w:t>dưới 1%</w:t>
            </w:r>
          </w:p>
        </w:tc>
        <w:tc>
          <w:tcPr>
            <w:tcW w:type="dxa" w:w="25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2</w:t>
            </w:r>
          </w:p>
        </w:tc>
        <w:tc>
          <w:tcPr>
            <w:tcW w:type="dxa" w:w="2700"/>
          </w:tcPr>
          <w:p>
            <w:pPr>
              <w:spacing w:before="0" w:after="40"/>
              <w:jc w:val="left"/>
            </w:pPr>
            <w:r>
              <w:rPr>
                <w:rFonts w:ascii="Times New Roman" w:hAnsi="Times New Roman" w:eastAsia="Times New Roman" w:cs="Times New Roman"/>
                <w:b w:val="0"/>
                <w:i w:val="0"/>
                <w:caps w:val="0"/>
                <w:color w:val="000000"/>
                <w:sz w:val="24"/>
              </w:rPr>
              <w:t>Nhỏ</w:t>
            </w:r>
          </w:p>
        </w:tc>
        <w:tc>
          <w:tcPr>
            <w:tcW w:type="dxa" w:w="1700"/>
          </w:tcPr>
          <w:p>
            <w:pPr>
              <w:spacing w:before="0" w:after="40"/>
              <w:jc w:val="left"/>
            </w:pPr>
            <w:r>
              <w:rPr>
                <w:rFonts w:ascii="Times New Roman" w:hAnsi="Times New Roman" w:eastAsia="Times New Roman" w:cs="Times New Roman"/>
                <w:b w:val="0"/>
                <w:i w:val="0"/>
                <w:caps w:val="0"/>
                <w:color w:val="000000"/>
                <w:sz w:val="24"/>
              </w:rPr>
              <w:t>1 đến 3</w:t>
            </w:r>
          </w:p>
        </w:tc>
        <w:tc>
          <w:tcPr>
            <w:tcW w:type="dxa" w:w="1700"/>
          </w:tcPr>
          <w:p>
            <w:pPr>
              <w:spacing w:before="0" w:after="40"/>
              <w:jc w:val="left"/>
            </w:pPr>
            <w:r>
              <w:rPr>
                <w:rFonts w:ascii="Times New Roman" w:hAnsi="Times New Roman" w:eastAsia="Times New Roman" w:cs="Times New Roman"/>
                <w:b w:val="0"/>
                <w:i w:val="0"/>
                <w:caps w:val="0"/>
                <w:color w:val="000000"/>
                <w:sz w:val="24"/>
              </w:rPr>
              <w:t>1% đến dưới 3%</w:t>
            </w:r>
          </w:p>
        </w:tc>
        <w:tc>
          <w:tcPr>
            <w:tcW w:type="dxa" w:w="25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3</w:t>
            </w:r>
          </w:p>
        </w:tc>
        <w:tc>
          <w:tcPr>
            <w:tcW w:type="dxa" w:w="2700"/>
          </w:tcPr>
          <w:p>
            <w:pPr>
              <w:spacing w:before="0" w:after="40"/>
              <w:jc w:val="left"/>
            </w:pPr>
            <w:r>
              <w:rPr>
                <w:rFonts w:ascii="Times New Roman" w:hAnsi="Times New Roman" w:eastAsia="Times New Roman" w:cs="Times New Roman"/>
                <w:b w:val="0"/>
                <w:i w:val="0"/>
                <w:caps w:val="0"/>
                <w:color w:val="000000"/>
                <w:sz w:val="24"/>
              </w:rPr>
              <w:t>Trung bình, hoặc ảnh hưởng một chức năng</w:t>
            </w:r>
          </w:p>
        </w:tc>
        <w:tc>
          <w:tcPr>
            <w:tcW w:type="dxa" w:w="1700"/>
          </w:tcPr>
          <w:p>
            <w:pPr>
              <w:spacing w:before="0" w:after="40"/>
              <w:jc w:val="left"/>
            </w:pPr>
            <w:r>
              <w:rPr>
                <w:rFonts w:ascii="Times New Roman" w:hAnsi="Times New Roman" w:eastAsia="Times New Roman" w:cs="Times New Roman"/>
                <w:b w:val="0"/>
                <w:i w:val="0"/>
                <w:caps w:val="0"/>
                <w:color w:val="000000"/>
                <w:sz w:val="24"/>
              </w:rPr>
              <w:t>4 đến 7</w:t>
            </w:r>
          </w:p>
        </w:tc>
        <w:tc>
          <w:tcPr>
            <w:tcW w:type="dxa" w:w="1700"/>
          </w:tcPr>
          <w:p>
            <w:pPr>
              <w:spacing w:before="0" w:after="40"/>
              <w:jc w:val="left"/>
            </w:pPr>
            <w:r>
              <w:rPr>
                <w:rFonts w:ascii="Times New Roman" w:hAnsi="Times New Roman" w:eastAsia="Times New Roman" w:cs="Times New Roman"/>
                <w:b w:val="0"/>
                <w:i w:val="0"/>
                <w:caps w:val="0"/>
                <w:color w:val="000000"/>
                <w:sz w:val="24"/>
              </w:rPr>
              <w:t>3% đến dưới 5%</w:t>
            </w:r>
          </w:p>
        </w:tc>
        <w:tc>
          <w:tcPr>
            <w:tcW w:type="dxa" w:w="2500"/>
          </w:tcPr>
          <w:p>
            <w:pPr>
              <w:spacing w:before="0" w:after="40"/>
              <w:jc w:val="left"/>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4</w:t>
            </w:r>
          </w:p>
        </w:tc>
        <w:tc>
          <w:tcPr>
            <w:tcW w:type="dxa" w:w="2700"/>
          </w:tcPr>
          <w:p>
            <w:pPr>
              <w:spacing w:before="0" w:after="40"/>
              <w:jc w:val="left"/>
            </w:pPr>
            <w:r>
              <w:rPr>
                <w:rFonts w:ascii="Times New Roman" w:hAnsi="Times New Roman" w:eastAsia="Times New Roman" w:cs="Times New Roman"/>
                <w:b w:val="0"/>
                <w:i w:val="0"/>
                <w:caps w:val="0"/>
                <w:color w:val="000000"/>
                <w:sz w:val="24"/>
              </w:rPr>
              <w:t>Lớn, hoặc làm chậm mốc gắn đợt thanh toán</w:t>
            </w:r>
          </w:p>
        </w:tc>
        <w:tc>
          <w:tcPr>
            <w:tcW w:type="dxa" w:w="1700"/>
          </w:tcPr>
          <w:p>
            <w:pPr>
              <w:spacing w:before="0" w:after="40"/>
              <w:jc w:val="left"/>
            </w:pPr>
            <w:r>
              <w:rPr>
                <w:rFonts w:ascii="Times New Roman" w:hAnsi="Times New Roman" w:eastAsia="Times New Roman" w:cs="Times New Roman"/>
                <w:b w:val="0"/>
                <w:i w:val="0"/>
                <w:caps w:val="0"/>
                <w:color w:val="000000"/>
                <w:sz w:val="24"/>
              </w:rPr>
              <w:t>8 đến 15</w:t>
            </w:r>
          </w:p>
        </w:tc>
        <w:tc>
          <w:tcPr>
            <w:tcW w:type="dxa" w:w="1700"/>
          </w:tcPr>
          <w:p>
            <w:pPr>
              <w:spacing w:before="0" w:after="40"/>
              <w:jc w:val="left"/>
            </w:pPr>
            <w:r>
              <w:rPr>
                <w:rFonts w:ascii="Times New Roman" w:hAnsi="Times New Roman" w:eastAsia="Times New Roman" w:cs="Times New Roman"/>
                <w:b w:val="0"/>
                <w:i w:val="0"/>
                <w:caps w:val="0"/>
                <w:color w:val="000000"/>
                <w:sz w:val="24"/>
              </w:rPr>
              <w:t>5% đến dưới 8%</w:t>
            </w:r>
          </w:p>
        </w:tc>
        <w:tc>
          <w:tcPr>
            <w:tcW w:type="dxa" w:w="2500"/>
          </w:tcPr>
          <w:p>
            <w:pPr>
              <w:spacing w:before="0" w:after="40"/>
              <w:jc w:val="left"/>
            </w:pPr>
            <w:r>
              <w:rPr>
                <w:rFonts w:ascii="Times New Roman" w:hAnsi="Times New Roman" w:eastAsia="Times New Roman" w:cs="Times New Roman"/>
                <w:b w:val="0"/>
                <w:i w:val="0"/>
                <w:caps w:val="0"/>
                <w:color w:val="000000"/>
                <w:sz w:val="24"/>
              </w:rPr>
              <w:t>Làm chậm mốc gắn đợt thanh toán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5</w:t>
            </w:r>
          </w:p>
        </w:tc>
        <w:tc>
          <w:tcPr>
            <w:tcW w:type="dxa" w:w="2700"/>
          </w:tcPr>
          <w:p>
            <w:pPr>
              <w:spacing w:before="0" w:after="40"/>
              <w:jc w:val="left"/>
            </w:pPr>
            <w:r>
              <w:rPr>
                <w:rFonts w:ascii="Times New Roman" w:hAnsi="Times New Roman" w:eastAsia="Times New Roman" w:cs="Times New Roman"/>
                <w:b w:val="0"/>
                <w:i w:val="0"/>
                <w:caps w:val="0"/>
                <w:color w:val="000000"/>
                <w:sz w:val="24"/>
              </w:rPr>
              <w:t>Rất lớn, làm lùi ngày cut over hoặc vi phạm hợp đồng</w:t>
            </w:r>
          </w:p>
        </w:tc>
        <w:tc>
          <w:tcPr>
            <w:tcW w:type="dxa" w:w="1700"/>
          </w:tcPr>
          <w:p>
            <w:pPr>
              <w:spacing w:before="0" w:after="40"/>
              <w:jc w:val="left"/>
            </w:pPr>
            <w:r>
              <w:rPr>
                <w:rFonts w:ascii="Times New Roman" w:hAnsi="Times New Roman" w:eastAsia="Times New Roman" w:cs="Times New Roman"/>
                <w:b w:val="0"/>
                <w:i w:val="0"/>
                <w:caps w:val="0"/>
                <w:color w:val="000000"/>
                <w:sz w:val="24"/>
              </w:rPr>
              <w:t>từ 16</w:t>
            </w:r>
          </w:p>
        </w:tc>
        <w:tc>
          <w:tcPr>
            <w:tcW w:type="dxa" w:w="1700"/>
          </w:tcPr>
          <w:p>
            <w:pPr>
              <w:spacing w:before="0" w:after="40"/>
              <w:jc w:val="left"/>
            </w:pPr>
            <w:r>
              <w:rPr>
                <w:rFonts w:ascii="Times New Roman" w:hAnsi="Times New Roman" w:eastAsia="Times New Roman" w:cs="Times New Roman"/>
                <w:b w:val="0"/>
                <w:i w:val="0"/>
                <w:caps w:val="0"/>
                <w:color w:val="000000"/>
                <w:sz w:val="24"/>
              </w:rPr>
              <w:t>từ 8%</w:t>
            </w:r>
          </w:p>
        </w:tc>
        <w:tc>
          <w:tcPr>
            <w:tcW w:type="dxa" w:w="2500"/>
          </w:tcPr>
          <w:p>
            <w:pPr>
              <w:spacing w:before="0" w:after="40"/>
              <w:jc w:val="left"/>
            </w:pPr>
            <w:r>
              <w:rPr>
                <w:rFonts w:ascii="Times New Roman" w:hAnsi="Times New Roman" w:eastAsia="Times New Roman" w:cs="Times New Roman"/>
                <w:b w:val="0"/>
                <w:i w:val="0"/>
                <w:caps w:val="0"/>
                <w:color w:val="000000"/>
                <w:sz w:val="24"/>
              </w:rPr>
              <w:t>Làm lùi ngày cut over hoặc vi phạm hợp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Mức tác động của mỗi rủi ro là mức cao nhất đạt được theo số ngày chậm, chi phí tác động so với giá chào 1.949 triệu đồng và điều kiện về mốc, hợp đồng. Mức chấm khác mức suy ra được ghi lý do trong sổ.</w:t>
      </w:r>
    </w:p>
    <w:p>
      <w:pPr>
        <w:pStyle w:val="Heading2"/>
        <w:keepNext/>
        <w:spacing w:before="200" w:after="80"/>
        <w:jc w:val="left"/>
      </w:pPr>
      <w:r>
        <w:rPr>
          <w:rFonts w:ascii="Times New Roman" w:hAnsi="Times New Roman" w:eastAsia="Times New Roman" w:cs="Times New Roman"/>
          <w:b w:val="0"/>
          <w:i w:val="0"/>
          <w:caps w:val="0"/>
          <w:color w:val="000000"/>
          <w:sz w:val="26"/>
        </w:rPr>
        <w:t>3.3. Phân mức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600"/>
        <w:gridCol w:w="2600"/>
        <w:gridCol w:w="5100"/>
      </w:tblGrid>
      <w:tr>
        <w:trPr>
          <w:tblHeader w:val="true"/>
        </w:trPr>
        <w:tc>
          <w:tcPr>
            <w:tcW w:type="dxa" w:w="1600"/>
          </w:tcPr>
          <w:p>
            <w:pPr>
              <w:spacing w:before="0" w:after="40"/>
              <w:jc w:val="center"/>
            </w:pPr>
            <w:r>
              <w:rPr>
                <w:rFonts w:ascii="Times New Roman" w:hAnsi="Times New Roman" w:eastAsia="Times New Roman" w:cs="Times New Roman"/>
                <w:b w:val="0"/>
                <w:i w:val="0"/>
                <w:caps w:val="0"/>
                <w:color w:val="000000"/>
                <w:sz w:val="24"/>
              </w:rPr>
              <w:t>Mức rủi ro</w:t>
            </w:r>
          </w:p>
        </w:tc>
        <w:tc>
          <w:tcPr>
            <w:tcW w:type="dxa" w:w="2600"/>
          </w:tcPr>
          <w:p>
            <w:pPr>
              <w:spacing w:before="0" w:after="40"/>
              <w:jc w:val="center"/>
            </w:pPr>
            <w:r>
              <w:rPr>
                <w:rFonts w:ascii="Times New Roman" w:hAnsi="Times New Roman" w:eastAsia="Times New Roman" w:cs="Times New Roman"/>
                <w:b w:val="0"/>
                <w:i w:val="0"/>
                <w:caps w:val="0"/>
                <w:color w:val="000000"/>
                <w:sz w:val="24"/>
              </w:rPr>
              <w:t>Điểm (xác suất x tác động)</w:t>
            </w:r>
          </w:p>
        </w:tc>
        <w:tc>
          <w:tcPr>
            <w:tcW w:type="dxa" w:w="5100"/>
          </w:tcPr>
          <w:p>
            <w:pPr>
              <w:spacing w:before="0" w:after="40"/>
              <w:jc w:val="left"/>
            </w:pPr>
            <w:r>
              <w:rPr>
                <w:rFonts w:ascii="Times New Roman" w:hAnsi="Times New Roman" w:eastAsia="Times New Roman" w:cs="Times New Roman"/>
                <w:b w:val="0"/>
                <w:i w:val="0"/>
                <w:caps w:val="0"/>
                <w:color w:val="000000"/>
                <w:sz w:val="24"/>
              </w:rPr>
              <w:t>Cách xử lý</w:t>
            </w:r>
          </w:p>
        </w:tc>
      </w:tr>
      <w:tr>
        <w:tc>
          <w:tcPr>
            <w:tcW w:type="dxa" w:w="1600"/>
          </w:tcPr>
          <w:p>
            <w:pPr>
              <w:spacing w:before="0" w:after="40"/>
              <w:jc w:val="center"/>
            </w:pPr>
            <w:r>
              <w:rPr>
                <w:rFonts w:ascii="Times New Roman" w:hAnsi="Times New Roman" w:eastAsia="Times New Roman" w:cs="Times New Roman"/>
                <w:b w:val="0"/>
                <w:i w:val="0"/>
                <w:caps w:val="0"/>
                <w:color w:val="000000"/>
                <w:sz w:val="24"/>
              </w:rPr>
              <w:t>Cao</w:t>
            </w:r>
          </w:p>
        </w:tc>
        <w:tc>
          <w:tcPr>
            <w:tcW w:type="dxa" w:w="2600"/>
          </w:tcPr>
          <w:p>
            <w:pPr>
              <w:spacing w:before="0" w:after="40"/>
              <w:jc w:val="center"/>
            </w:pPr>
            <w:r>
              <w:rPr>
                <w:rFonts w:ascii="Times New Roman" w:hAnsi="Times New Roman" w:eastAsia="Times New Roman" w:cs="Times New Roman"/>
                <w:b w:val="0"/>
                <w:i w:val="0"/>
                <w:caps w:val="0"/>
                <w:color w:val="000000"/>
                <w:sz w:val="24"/>
              </w:rPr>
              <w:t>15 đến 25</w:t>
            </w:r>
          </w:p>
        </w:tc>
        <w:tc>
          <w:tcPr>
            <w:tcW w:type="dxa" w:w="5100"/>
          </w:tcPr>
          <w:p>
            <w:pPr>
              <w:spacing w:before="0" w:after="40"/>
              <w:jc w:val="left"/>
            </w:pPr>
            <w:r>
              <w:rPr>
                <w:rFonts w:ascii="Times New Roman" w:hAnsi="Times New Roman" w:eastAsia="Times New Roman" w:cs="Times New Roman"/>
                <w:b w:val="0"/>
                <w:i w:val="0"/>
                <w:caps w:val="0"/>
                <w:color w:val="000000"/>
                <w:sz w:val="24"/>
              </w:rPr>
              <w:t>Bắt buộc có kế hoạch ứng phó, dấu hiệu nhận biết, theo dõi hằng tuần, báo cáo trong mỗi kỳ</w:t>
            </w:r>
          </w:p>
        </w:tc>
      </w:tr>
      <w:tr>
        <w:tc>
          <w:tcPr>
            <w:tcW w:type="dxa" w:w="16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600"/>
          </w:tcPr>
          <w:p>
            <w:pPr>
              <w:spacing w:before="0" w:after="40"/>
              <w:jc w:val="center"/>
            </w:pPr>
            <w:r>
              <w:rPr>
                <w:rFonts w:ascii="Times New Roman" w:hAnsi="Times New Roman" w:eastAsia="Times New Roman" w:cs="Times New Roman"/>
                <w:b w:val="0"/>
                <w:i w:val="0"/>
                <w:caps w:val="0"/>
                <w:color w:val="000000"/>
                <w:sz w:val="24"/>
              </w:rPr>
              <w:t>8 đến 14</w:t>
            </w:r>
          </w:p>
        </w:tc>
        <w:tc>
          <w:tcPr>
            <w:tcW w:type="dxa" w:w="5100"/>
          </w:tcPr>
          <w:p>
            <w:pPr>
              <w:spacing w:before="0" w:after="40"/>
              <w:jc w:val="left"/>
            </w:pPr>
            <w:r>
              <w:rPr>
                <w:rFonts w:ascii="Times New Roman" w:hAnsi="Times New Roman" w:eastAsia="Times New Roman" w:cs="Times New Roman"/>
                <w:b w:val="0"/>
                <w:i w:val="0"/>
                <w:caps w:val="0"/>
                <w:color w:val="000000"/>
                <w:sz w:val="24"/>
              </w:rPr>
              <w:t>Có biện pháp phòng ngừa, theo dõi theo sprint</w:t>
            </w:r>
          </w:p>
        </w:tc>
      </w:tr>
      <w:tr>
        <w:tc>
          <w:tcPr>
            <w:tcW w:type="dxa" w:w="1600"/>
          </w:tcPr>
          <w:p>
            <w:pPr>
              <w:spacing w:before="0" w:after="40"/>
              <w:jc w:val="center"/>
            </w:pPr>
            <w:r>
              <w:rPr>
                <w:rFonts w:ascii="Times New Roman" w:hAnsi="Times New Roman" w:eastAsia="Times New Roman" w:cs="Times New Roman"/>
                <w:b w:val="0"/>
                <w:i w:val="0"/>
                <w:caps w:val="0"/>
                <w:color w:val="000000"/>
                <w:sz w:val="24"/>
              </w:rPr>
              <w:t>Thấp</w:t>
            </w:r>
          </w:p>
        </w:tc>
        <w:tc>
          <w:tcPr>
            <w:tcW w:type="dxa" w:w="2600"/>
          </w:tcPr>
          <w:p>
            <w:pPr>
              <w:spacing w:before="0" w:after="40"/>
              <w:jc w:val="center"/>
            </w:pPr>
            <w:r>
              <w:rPr>
                <w:rFonts w:ascii="Times New Roman" w:hAnsi="Times New Roman" w:eastAsia="Times New Roman" w:cs="Times New Roman"/>
                <w:b w:val="0"/>
                <w:i w:val="0"/>
                <w:caps w:val="0"/>
                <w:color w:val="000000"/>
                <w:sz w:val="24"/>
              </w:rPr>
              <w:t>1 đến 7</w:t>
            </w:r>
          </w:p>
        </w:tc>
        <w:tc>
          <w:tcPr>
            <w:tcW w:type="dxa" w:w="5100"/>
          </w:tcPr>
          <w:p>
            <w:pPr>
              <w:spacing w:before="0" w:after="40"/>
              <w:jc w:val="left"/>
            </w:pPr>
            <w:r>
              <w:rPr>
                <w:rFonts w:ascii="Times New Roman" w:hAnsi="Times New Roman" w:eastAsia="Times New Roman" w:cs="Times New Roman"/>
                <w:b w:val="0"/>
                <w:i w:val="0"/>
                <w:caps w:val="0"/>
                <w:color w:val="000000"/>
                <w:sz w:val="24"/>
              </w:rPr>
              <w:t>Ghi nhận, rà soát cuối sprint</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3.4. Quy đổi sang ma trận 3x3</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100"/>
        <w:gridCol w:w="3100"/>
        <w:gridCol w:w="3100"/>
      </w:tblGrid>
      <w:tr>
        <w:trPr>
          <w:tblHeader w:val="true"/>
        </w:trPr>
        <w:tc>
          <w:tcPr>
            <w:tcW w:type="dxa" w:w="3100"/>
          </w:tcPr>
          <w:p>
            <w:pPr>
              <w:spacing w:before="0" w:after="40"/>
              <w:jc w:val="left"/>
            </w:pPr>
            <w:r>
              <w:rPr>
                <w:rFonts w:ascii="Times New Roman" w:hAnsi="Times New Roman" w:eastAsia="Times New Roman" w:cs="Times New Roman"/>
                <w:b w:val="0"/>
                <w:i w:val="0"/>
                <w:caps w:val="0"/>
                <w:color w:val="000000"/>
                <w:sz w:val="24"/>
              </w:rPr>
              <w:t>Thang 5 mức</w:t>
            </w:r>
          </w:p>
        </w:tc>
        <w:tc>
          <w:tcPr>
            <w:tcW w:type="dxa" w:w="3100"/>
          </w:tcPr>
          <w:p>
            <w:pPr>
              <w:spacing w:before="0" w:after="40"/>
              <w:jc w:val="left"/>
            </w:pPr>
            <w:r>
              <w:rPr>
                <w:rFonts w:ascii="Times New Roman" w:hAnsi="Times New Roman" w:eastAsia="Times New Roman" w:cs="Times New Roman"/>
                <w:b w:val="0"/>
                <w:i w:val="0"/>
                <w:caps w:val="0"/>
                <w:color w:val="000000"/>
                <w:sz w:val="24"/>
              </w:rPr>
              <w:t>Xác suất theo thang 3 mức</w:t>
            </w:r>
          </w:p>
        </w:tc>
        <w:tc>
          <w:tcPr>
            <w:tcW w:type="dxa" w:w="3100"/>
          </w:tcPr>
          <w:p>
            <w:pPr>
              <w:spacing w:before="0" w:after="40"/>
              <w:jc w:val="left"/>
            </w:pPr>
            <w:r>
              <w:rPr>
                <w:rFonts w:ascii="Times New Roman" w:hAnsi="Times New Roman" w:eastAsia="Times New Roman" w:cs="Times New Roman"/>
                <w:b w:val="0"/>
                <w:i w:val="0"/>
                <w:caps w:val="0"/>
                <w:color w:val="000000"/>
                <w:sz w:val="24"/>
              </w:rPr>
              <w:t>Tác động theo thang 3 mức</w:t>
            </w:r>
          </w:p>
        </w:tc>
      </w:tr>
      <w:tr>
        <w:tc>
          <w:tcPr>
            <w:tcW w:type="dxa" w:w="3100"/>
          </w:tcPr>
          <w:p>
            <w:pPr>
              <w:spacing w:before="0" w:after="40"/>
              <w:jc w:val="left"/>
            </w:pPr>
            <w:r>
              <w:rPr>
                <w:rFonts w:ascii="Times New Roman" w:hAnsi="Times New Roman" w:eastAsia="Times New Roman" w:cs="Times New Roman"/>
                <w:b w:val="0"/>
                <w:i w:val="0"/>
                <w:caps w:val="0"/>
                <w:color w:val="000000"/>
                <w:sz w:val="24"/>
              </w:rPr>
              <w:t>Mức 1 đến 2</w:t>
            </w:r>
          </w:p>
        </w:tc>
        <w:tc>
          <w:tcPr>
            <w:tcW w:type="dxa" w:w="3100"/>
          </w:tcPr>
          <w:p>
            <w:pPr>
              <w:spacing w:before="0" w:after="40"/>
              <w:jc w:val="left"/>
            </w:pPr>
            <w:r>
              <w:rPr>
                <w:rFonts w:ascii="Times New Roman" w:hAnsi="Times New Roman" w:eastAsia="Times New Roman" w:cs="Times New Roman"/>
                <w:b w:val="0"/>
                <w:i w:val="0"/>
                <w:caps w:val="0"/>
                <w:color w:val="000000"/>
                <w:sz w:val="24"/>
              </w:rPr>
              <w:t>Thấp</w:t>
            </w:r>
          </w:p>
        </w:tc>
        <w:tc>
          <w:tcPr>
            <w:tcW w:type="dxa" w:w="3100"/>
          </w:tcPr>
          <w:p>
            <w:pPr>
              <w:spacing w:before="0" w:after="40"/>
              <w:jc w:val="left"/>
            </w:pPr>
            <w:r>
              <w:rPr>
                <w:rFonts w:ascii="Times New Roman" w:hAnsi="Times New Roman" w:eastAsia="Times New Roman" w:cs="Times New Roman"/>
                <w:b w:val="0"/>
                <w:i w:val="0"/>
                <w:caps w:val="0"/>
                <w:color w:val="000000"/>
                <w:sz w:val="24"/>
              </w:rPr>
              <w:t>Nhỏ</w:t>
            </w:r>
          </w:p>
        </w:tc>
      </w:tr>
      <w:tr>
        <w:tc>
          <w:tcPr>
            <w:tcW w:type="dxa" w:w="3100"/>
          </w:tcPr>
          <w:p>
            <w:pPr>
              <w:spacing w:before="0" w:after="40"/>
              <w:jc w:val="left"/>
            </w:pPr>
            <w:r>
              <w:rPr>
                <w:rFonts w:ascii="Times New Roman" w:hAnsi="Times New Roman" w:eastAsia="Times New Roman" w:cs="Times New Roman"/>
                <w:b w:val="0"/>
                <w:i w:val="0"/>
                <w:caps w:val="0"/>
                <w:color w:val="000000"/>
                <w:sz w:val="24"/>
              </w:rPr>
              <w:t>Mức 3</w:t>
            </w:r>
          </w:p>
        </w:tc>
        <w:tc>
          <w:tcPr>
            <w:tcW w:type="dxa" w:w="31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3100"/>
          </w:tcPr>
          <w:p>
            <w:pPr>
              <w:spacing w:before="0" w:after="40"/>
              <w:jc w:val="left"/>
            </w:pPr>
            <w:r>
              <w:rPr>
                <w:rFonts w:ascii="Times New Roman" w:hAnsi="Times New Roman" w:eastAsia="Times New Roman" w:cs="Times New Roman"/>
                <w:b w:val="0"/>
                <w:i w:val="0"/>
                <w:caps w:val="0"/>
                <w:color w:val="000000"/>
                <w:sz w:val="24"/>
              </w:rPr>
              <w:t>Trung bình</w:t>
            </w:r>
          </w:p>
        </w:tc>
      </w:tr>
      <w:tr>
        <w:tc>
          <w:tcPr>
            <w:tcW w:type="dxa" w:w="3100"/>
          </w:tcPr>
          <w:p>
            <w:pPr>
              <w:spacing w:before="0" w:after="40"/>
              <w:jc w:val="left"/>
            </w:pPr>
            <w:r>
              <w:rPr>
                <w:rFonts w:ascii="Times New Roman" w:hAnsi="Times New Roman" w:eastAsia="Times New Roman" w:cs="Times New Roman"/>
                <w:b w:val="0"/>
                <w:i w:val="0"/>
                <w:caps w:val="0"/>
                <w:color w:val="000000"/>
                <w:sz w:val="24"/>
              </w:rPr>
              <w:t>Mức 4 đến 5</w:t>
            </w:r>
          </w:p>
        </w:tc>
        <w:tc>
          <w:tcPr>
            <w:tcW w:type="dxa" w:w="3100"/>
          </w:tcPr>
          <w:p>
            <w:pPr>
              <w:spacing w:before="0" w:after="40"/>
              <w:jc w:val="left"/>
            </w:pPr>
            <w:r>
              <w:rPr>
                <w:rFonts w:ascii="Times New Roman" w:hAnsi="Times New Roman" w:eastAsia="Times New Roman" w:cs="Times New Roman"/>
                <w:b w:val="0"/>
                <w:i w:val="0"/>
                <w:caps w:val="0"/>
                <w:color w:val="000000"/>
                <w:sz w:val="24"/>
              </w:rPr>
              <w:t>Cao</w:t>
            </w:r>
          </w:p>
        </w:tc>
        <w:tc>
          <w:tcPr>
            <w:tcW w:type="dxa" w:w="3100"/>
          </w:tcPr>
          <w:p>
            <w:pPr>
              <w:spacing w:before="0" w:after="40"/>
              <w:jc w:val="left"/>
            </w:pPr>
            <w:r>
              <w:rPr>
                <w:rFonts w:ascii="Times New Roman" w:hAnsi="Times New Roman" w:eastAsia="Times New Roman" w:cs="Times New Roman"/>
                <w:b w:val="0"/>
                <w:i w:val="0"/>
                <w:caps w:val="0"/>
                <w:color w:val="000000"/>
                <w:sz w:val="24"/>
              </w:rPr>
              <w:t>Lớn</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4. Sổ đăng ký rủi ro</w:t>
      </w:r>
    </w:p>
    <w:p>
      <w:pPr>
        <w:spacing w:before="0" w:after="100" w:line="300" w:lineRule="auto"/>
        <w:jc w:val="both"/>
      </w:pPr>
      <w:r>
        <w:rPr>
          <w:rFonts w:ascii="Times New Roman" w:hAnsi="Times New Roman" w:eastAsia="Times New Roman" w:cs="Times New Roman"/>
          <w:b w:val="0"/>
          <w:i w:val="0"/>
          <w:caps w:val="0"/>
          <w:color w:val="000000"/>
          <w:sz w:val="26"/>
        </w:rPr>
        <w:t>Sổ gồm 22 rủi ro (20 đe dọa, 2 cơ hội): 2 mức cao, 13 mức trung bình, 7 mức thấp. Theo ma trận 3x3 có 6 rủi ro hạng A, 9 rủi ro hạng B, 7 rủi ro hạng C. EMV của từng rủi ro tính theo triệu đồng. Cột Trạng thái theo nhật ký theo dõi rủi ro đến ngày 27/05/2027: rủi ro đã xảy ra hoặc đã đóng không còn tính EMV còn lại, tác động thực tế ghi ở bảng rủi ro đã xảy ra.</w:t>
      </w:r>
    </w:p>
    <w:p>
      <w:pPr>
        <w:sectPr>
          <w:headerReference w:type="default" r:id="rId9"/>
          <w:footerReference w:type="default" r:id="rId10"/>
          <w:pgSz w:w="11907" w:h="16840"/>
          <w:pgMar w:top="1134" w:right="1134" w:bottom="1134" w:left="1417" w:header="720" w:footer="720" w:gutter="0"/>
          <w:cols w:space="720"/>
          <w:docGrid w:linePitch="360"/>
        </w:sectPr>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1500"/>
        <w:gridCol w:w="1400"/>
        <w:gridCol w:w="450"/>
        <w:gridCol w:w="450"/>
        <w:gridCol w:w="550"/>
        <w:gridCol w:w="1000"/>
        <w:gridCol w:w="600"/>
        <w:gridCol w:w="1100"/>
        <w:gridCol w:w="1100"/>
        <w:gridCol w:w="1300"/>
        <w:gridCol w:w="1600"/>
        <w:gridCol w:w="24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15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400"/>
          </w:tcPr>
          <w:p>
            <w:pPr>
              <w:spacing w:before="0" w:after="40"/>
              <w:jc w:val="left"/>
            </w:pPr>
            <w:r>
              <w:rPr>
                <w:rFonts w:ascii="Times New Roman" w:hAnsi="Times New Roman" w:eastAsia="Times New Roman" w:cs="Times New Roman"/>
                <w:b w:val="0"/>
                <w:i w:val="0"/>
                <w:caps w:val="0"/>
                <w:color w:val="000000"/>
                <w:sz w:val="24"/>
              </w:rPr>
              <w:t>Nhóm</w:t>
            </w:r>
          </w:p>
        </w:tc>
        <w:tc>
          <w:tcPr>
            <w:tcW w:type="dxa" w:w="450"/>
          </w:tcPr>
          <w:p>
            <w:pPr>
              <w:spacing w:before="0" w:after="40"/>
              <w:jc w:val="center"/>
            </w:pPr>
            <w:r>
              <w:rPr>
                <w:rFonts w:ascii="Times New Roman" w:hAnsi="Times New Roman" w:eastAsia="Times New Roman" w:cs="Times New Roman"/>
                <w:b w:val="0"/>
                <w:i w:val="0"/>
                <w:caps w:val="0"/>
                <w:color w:val="000000"/>
                <w:sz w:val="24"/>
              </w:rPr>
              <w:t>XS</w:t>
            </w:r>
          </w:p>
        </w:tc>
        <w:tc>
          <w:tcPr>
            <w:tcW w:type="dxa" w:w="450"/>
          </w:tcPr>
          <w:p>
            <w:pPr>
              <w:spacing w:before="0" w:after="40"/>
              <w:jc w:val="center"/>
            </w:pPr>
            <w:r>
              <w:rPr>
                <w:rFonts w:ascii="Times New Roman" w:hAnsi="Times New Roman" w:eastAsia="Times New Roman" w:cs="Times New Roman"/>
                <w:b w:val="0"/>
                <w:i w:val="0"/>
                <w:caps w:val="0"/>
                <w:color w:val="000000"/>
                <w:sz w:val="24"/>
              </w:rPr>
              <w:t>TĐ</w:t>
            </w:r>
          </w:p>
        </w:tc>
        <w:tc>
          <w:tcPr>
            <w:tcW w:type="dxa" w:w="550"/>
          </w:tcPr>
          <w:p>
            <w:pPr>
              <w:spacing w:before="0" w:after="40"/>
              <w:jc w:val="center"/>
            </w:pPr>
            <w:r>
              <w:rPr>
                <w:rFonts w:ascii="Times New Roman" w:hAnsi="Times New Roman" w:eastAsia="Times New Roman" w:cs="Times New Roman"/>
                <w:b w:val="0"/>
                <w:i w:val="0"/>
                <w:caps w:val="0"/>
                <w:color w:val="000000"/>
                <w:sz w:val="24"/>
              </w:rPr>
              <w:t>Điểm</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600"/>
          </w:tcPr>
          <w:p>
            <w:pPr>
              <w:spacing w:before="0" w:after="40"/>
              <w:jc w:val="center"/>
            </w:pPr>
            <w:r>
              <w:rPr>
                <w:rFonts w:ascii="Times New Roman" w:hAnsi="Times New Roman" w:eastAsia="Times New Roman" w:cs="Times New Roman"/>
                <w:b w:val="0"/>
                <w:i w:val="0"/>
                <w:caps w:val="0"/>
                <w:color w:val="000000"/>
                <w:sz w:val="24"/>
              </w:rPr>
              <w:t>Hạng</w:t>
            </w:r>
          </w:p>
        </w:tc>
        <w:tc>
          <w:tcPr>
            <w:tcW w:type="dxa" w:w="1100"/>
          </w:tcPr>
          <w:p>
            <w:pPr>
              <w:spacing w:before="0" w:after="40"/>
              <w:jc w:val="center"/>
            </w:pPr>
            <w:r>
              <w:rPr>
                <w:rFonts w:ascii="Times New Roman" w:hAnsi="Times New Roman" w:eastAsia="Times New Roman" w:cs="Times New Roman"/>
                <w:b w:val="0"/>
                <w:i w:val="0"/>
                <w:caps w:val="0"/>
                <w:color w:val="000000"/>
                <w:sz w:val="24"/>
              </w:rPr>
              <w:t>Trạng thái</w:t>
            </w:r>
          </w:p>
        </w:tc>
        <w:tc>
          <w:tcPr>
            <w:tcW w:type="dxa" w:w="1100"/>
          </w:tcPr>
          <w:p>
            <w:pPr>
              <w:spacing w:before="0" w:after="40"/>
              <w:jc w:val="right"/>
            </w:pPr>
            <w:r>
              <w:rPr>
                <w:rFonts w:ascii="Times New Roman" w:hAnsi="Times New Roman" w:eastAsia="Times New Roman" w:cs="Times New Roman"/>
                <w:b w:val="0"/>
                <w:i w:val="0"/>
                <w:caps w:val="0"/>
                <w:color w:val="000000"/>
                <w:sz w:val="24"/>
              </w:rPr>
              <w:t>EMV, triệu đồng</w:t>
            </w:r>
          </w:p>
        </w:tc>
        <w:tc>
          <w:tcPr>
            <w:tcW w:type="dxa" w:w="1300"/>
          </w:tcPr>
          <w:p>
            <w:pPr>
              <w:spacing w:before="0" w:after="40"/>
              <w:jc w:val="left"/>
            </w:pPr>
            <w:r>
              <w:rPr>
                <w:rFonts w:ascii="Times New Roman" w:hAnsi="Times New Roman" w:eastAsia="Times New Roman" w:cs="Times New Roman"/>
                <w:b w:val="0"/>
                <w:i w:val="0"/>
                <w:caps w:val="0"/>
                <w:color w:val="000000"/>
                <w:sz w:val="24"/>
              </w:rPr>
              <w:t>Chiến lược</w:t>
            </w:r>
          </w:p>
        </w:tc>
        <w:tc>
          <w:tcPr>
            <w:tcW w:type="dxa" w:w="1600"/>
          </w:tcPr>
          <w:p>
            <w:pPr>
              <w:spacing w:before="0" w:after="40"/>
              <w:jc w:val="left"/>
            </w:pPr>
            <w:r>
              <w:rPr>
                <w:rFonts w:ascii="Times New Roman" w:hAnsi="Times New Roman" w:eastAsia="Times New Roman" w:cs="Times New Roman"/>
                <w:b w:val="0"/>
                <w:i w:val="0"/>
                <w:caps w:val="0"/>
                <w:color w:val="000000"/>
                <w:sz w:val="24"/>
              </w:rPr>
              <w:t>Phụ trách</w:t>
            </w:r>
          </w:p>
        </w:tc>
        <w:tc>
          <w:tcPr>
            <w:tcW w:type="dxa" w:w="2400"/>
          </w:tcPr>
          <w:p>
            <w:pPr>
              <w:spacing w:before="0" w:after="40"/>
              <w:jc w:val="left"/>
            </w:pPr>
            <w:r>
              <w:rPr>
                <w:rFonts w:ascii="Times New Roman" w:hAnsi="Times New Roman" w:eastAsia="Times New Roman" w:cs="Times New Roman"/>
                <w:b w:val="0"/>
                <w:i w:val="0"/>
                <w:caps w:val="0"/>
                <w:color w:val="000000"/>
                <w:sz w:val="24"/>
              </w:rPr>
              <w:t>Liên kết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15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16</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xảy ra</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4.2.5, 4.2.6, 4.4.3. Mốc M3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15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4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5</w:t>
            </w:r>
          </w:p>
        </w:tc>
        <w:tc>
          <w:tcPr>
            <w:tcW w:type="dxa" w:w="550"/>
          </w:tcPr>
          <w:p>
            <w:pPr>
              <w:spacing w:before="0" w:after="40"/>
              <w:jc w:val="center"/>
            </w:pPr>
            <w:r>
              <w:rPr>
                <w:rFonts w:ascii="Times New Roman" w:hAnsi="Times New Roman" w:eastAsia="Times New Roman" w:cs="Times New Roman"/>
                <w:b w:val="0"/>
                <w:i w:val="0"/>
                <w:caps w:val="0"/>
                <w:color w:val="000000"/>
                <w:sz w:val="24"/>
              </w:rPr>
              <w:t>15</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9,2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3.4.14, 1.4.11, 2.4.12. Mốc M5 (27/07/2027), M6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15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4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100"/>
          </w:tcPr>
          <w:p>
            <w:pPr>
              <w:spacing w:before="0" w:after="40"/>
              <w:jc w:val="right"/>
            </w:pPr>
            <w:r>
              <w:rPr>
                <w:rFonts w:ascii="Times New Roman" w:hAnsi="Times New Roman" w:eastAsia="Times New Roman" w:cs="Times New Roman"/>
                <w:b w:val="0"/>
                <w:i w:val="0"/>
                <w:caps w:val="0"/>
                <w:color w:val="000000"/>
                <w:sz w:val="24"/>
              </w:rPr>
              <w:t>10,1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3.2.5. Mốc M2 (06/05/2027)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15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4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3.3.5, 2.3.2, 4.3.7. Mốc M3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1500"/>
          </w:tcPr>
          <w:p>
            <w:pPr>
              <w:spacing w:before="0" w:after="40"/>
              <w:jc w:val="left"/>
            </w:pPr>
            <w:r>
              <w:rPr>
                <w:rFonts w:ascii="Times New Roman" w:hAnsi="Times New Roman" w:eastAsia="Times New Roman" w:cs="Times New Roman"/>
                <w:b w:val="0"/>
                <w:i w:val="0"/>
                <w:caps w:val="0"/>
                <w:color w:val="000000"/>
                <w:sz w:val="24"/>
              </w:rPr>
              <w:t>Lương thỏa thuận với vị trí bổ sung cao hơn lương tham chiếu dùng trong dự toán</w:t>
            </w:r>
          </w:p>
        </w:tc>
        <w:tc>
          <w:tcPr>
            <w:tcW w:type="dxa" w:w="1400"/>
          </w:tcPr>
          <w:p>
            <w:pPr>
              <w:spacing w:before="0" w:after="40"/>
              <w:jc w:val="left"/>
            </w:pPr>
            <w:r>
              <w:rPr>
                <w:rFonts w:ascii="Times New Roman" w:hAnsi="Times New Roman" w:eastAsia="Times New Roman" w:cs="Times New Roman"/>
                <w:b w:val="0"/>
                <w:i w:val="0"/>
                <w:caps w:val="0"/>
                <w:color w:val="000000"/>
                <w:sz w:val="24"/>
              </w:rPr>
              <w:t>Chi phí</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44,4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1.1.3, 2.1.3, 3.1.4, 4.1.2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1500"/>
          </w:tcPr>
          <w:p>
            <w:pPr>
              <w:spacing w:before="0" w:after="40"/>
              <w:jc w:val="left"/>
            </w:pPr>
            <w:r>
              <w:rPr>
                <w:rFonts w:ascii="Times New Roman" w:hAnsi="Times New Roman" w:eastAsia="Times New Roman" w:cs="Times New Roman"/>
                <w:b w:val="0"/>
                <w:i w:val="0"/>
                <w:caps w:val="0"/>
                <w:color w:val="000000"/>
                <w:sz w:val="24"/>
              </w:rPr>
              <w:t>Giao diện lập trình hoặc môi trường thử của sàn thương mại điện tử chưa sẵn sàng, hoặc sàn thay đổi chính sách kết nối trong thời gian thực hiện</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12</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A</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5,0</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2400"/>
          </w:tcPr>
          <w:p>
            <w:pPr>
              <w:spacing w:before="0" w:after="40"/>
              <w:jc w:val="left"/>
            </w:pPr>
            <w:r>
              <w:rPr>
                <w:rFonts w:ascii="Times New Roman" w:hAnsi="Times New Roman" w:eastAsia="Times New Roman" w:cs="Times New Roman"/>
                <w:b w:val="0"/>
                <w:i w:val="0"/>
                <w:caps w:val="0"/>
                <w:color w:val="000000"/>
                <w:sz w:val="24"/>
              </w:rPr>
              <w:t>Gói 5.3.1, 5.4.2. Mốc M9 (27/07/2027)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1500"/>
          </w:tcPr>
          <w:p>
            <w:pPr>
              <w:spacing w:before="0" w:after="40"/>
              <w:jc w:val="left"/>
            </w:pPr>
            <w:r>
              <w:rPr>
                <w:rFonts w:ascii="Times New Roman" w:hAnsi="Times New Roman" w:eastAsia="Times New Roman" w:cs="Times New Roman"/>
                <w:b w:val="0"/>
                <w:i w:val="0"/>
                <w:caps w:val="0"/>
                <w:color w:val="000000"/>
                <w:sz w:val="24"/>
              </w:rPr>
              <w:t>Sự cố khi triển khai phiên bản chính thức và chuyển đổi dữ liệu ngày 28/07/2027, phải khôi phục</w:t>
            </w:r>
          </w:p>
        </w:tc>
        <w:tc>
          <w:tcPr>
            <w:tcW w:type="dxa" w:w="1400"/>
          </w:tcPr>
          <w:p>
            <w:pPr>
              <w:spacing w:before="0" w:after="40"/>
              <w:jc w:val="left"/>
            </w:pPr>
            <w:r>
              <w:rPr>
                <w:rFonts w:ascii="Times New Roman" w:hAnsi="Times New Roman" w:eastAsia="Times New Roman" w:cs="Times New Roman"/>
                <w:b w:val="0"/>
                <w:i w:val="0"/>
                <w:caps w:val="0"/>
                <w:color w:val="000000"/>
                <w:sz w:val="24"/>
              </w:rPr>
              <w:t>Vận hành và chuyển đổi</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5</w:t>
            </w:r>
          </w:p>
        </w:tc>
        <w:tc>
          <w:tcPr>
            <w:tcW w:type="dxa" w:w="55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2,2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1.5.2. Mốc M6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1500"/>
          </w:tcPr>
          <w:p>
            <w:pPr>
              <w:spacing w:before="0" w:after="40"/>
              <w:jc w:val="left"/>
            </w:pPr>
            <w:r>
              <w:rPr>
                <w:rFonts w:ascii="Times New Roman" w:hAnsi="Times New Roman" w:eastAsia="Times New Roman" w:cs="Times New Roman"/>
                <w:b w:val="0"/>
                <w:i w:val="0"/>
                <w:caps w:val="0"/>
                <w:color w:val="000000"/>
                <w:sz w:val="24"/>
              </w:rPr>
              <w:t>Lỗ hổng bảo mật tài khoản thành viên làm lộ dữ liệu khách hàng</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5</w:t>
            </w:r>
          </w:p>
        </w:tc>
        <w:tc>
          <w:tcPr>
            <w:tcW w:type="dxa" w:w="550"/>
          </w:tcPr>
          <w:p>
            <w:pPr>
              <w:spacing w:before="0" w:after="40"/>
              <w:jc w:val="center"/>
            </w:pPr>
            <w:r>
              <w:rPr>
                <w:rFonts w:ascii="Times New Roman" w:hAnsi="Times New Roman" w:eastAsia="Times New Roman" w:cs="Times New Roman"/>
                <w:b w:val="0"/>
                <w:i w:val="0"/>
                <w:caps w:val="0"/>
                <w:color w:val="000000"/>
                <w:sz w:val="24"/>
              </w:rPr>
              <w:t>10</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2,1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2400"/>
          </w:tcPr>
          <w:p>
            <w:pPr>
              <w:spacing w:before="0" w:after="40"/>
              <w:jc w:val="left"/>
            </w:pPr>
            <w:r>
              <w:rPr>
                <w:rFonts w:ascii="Times New Roman" w:hAnsi="Times New Roman" w:eastAsia="Times New Roman" w:cs="Times New Roman"/>
                <w:b w:val="0"/>
                <w:i w:val="0"/>
                <w:caps w:val="0"/>
                <w:color w:val="000000"/>
                <w:sz w:val="24"/>
              </w:rPr>
              <w:t>Gói 2.4.5, 2.4.10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15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16/07/2027</w:t>
            </w:r>
          </w:p>
        </w:tc>
        <w:tc>
          <w:tcPr>
            <w:tcW w:type="dxa" w:w="14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8,4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3.4.12, 4.4.5. Mốc M4 (08/07/2027), M5 (27/07/2027)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15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6,7</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2400"/>
          </w:tcPr>
          <w:p>
            <w:pPr>
              <w:spacing w:before="0" w:after="40"/>
              <w:jc w:val="left"/>
            </w:pPr>
            <w:r>
              <w:rPr>
                <w:rFonts w:ascii="Times New Roman" w:hAnsi="Times New Roman" w:eastAsia="Times New Roman" w:cs="Times New Roman"/>
                <w:b w:val="0"/>
                <w:i w:val="0"/>
                <w:caps w:val="0"/>
                <w:color w:val="000000"/>
                <w:sz w:val="24"/>
              </w:rPr>
              <w:t>Gói 1.3.8, 1.4.9. Mốc M4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1500"/>
          </w:tcPr>
          <w:p>
            <w:pPr>
              <w:spacing w:before="0" w:after="40"/>
              <w:jc w:val="left"/>
            </w:pPr>
            <w:r>
              <w:rPr>
                <w:rFonts w:ascii="Times New Roman" w:hAnsi="Times New Roman" w:eastAsia="Times New Roman" w:cs="Times New Roman"/>
                <w:b w:val="0"/>
                <w:i w:val="0"/>
                <w:caps w:val="0"/>
                <w:color w:val="000000"/>
                <w:sz w:val="24"/>
              </w:rPr>
              <w:t>Hạ tầng máy chủ vận hành do Chủ đầu tư bàn giao muộn</w:t>
            </w:r>
          </w:p>
        </w:tc>
        <w:tc>
          <w:tcPr>
            <w:tcW w:type="dxa" w:w="1400"/>
          </w:tcPr>
          <w:p>
            <w:pPr>
              <w:spacing w:before="0" w:after="40"/>
              <w:jc w:val="left"/>
            </w:pPr>
            <w:r>
              <w:rPr>
                <w:rFonts w:ascii="Times New Roman" w:hAnsi="Times New Roman" w:eastAsia="Times New Roman" w:cs="Times New Roman"/>
                <w:b w:val="0"/>
                <w:i w:val="0"/>
                <w:caps w:val="0"/>
                <w:color w:val="000000"/>
                <w:sz w:val="24"/>
              </w:rPr>
              <w:t>Vận hành và chuyển đổi</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550"/>
          </w:tcPr>
          <w:p>
            <w:pPr>
              <w:spacing w:before="0" w:after="40"/>
              <w:jc w:val="center"/>
            </w:pPr>
            <w:r>
              <w:rPr>
                <w:rFonts w:ascii="Times New Roman" w:hAnsi="Times New Roman" w:eastAsia="Times New Roman" w:cs="Times New Roman"/>
                <w:b w:val="0"/>
                <w:i w:val="0"/>
                <w:caps w:val="0"/>
                <w:color w:val="000000"/>
                <w:sz w:val="24"/>
              </w:rPr>
              <w:t>9</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4.5.1, 1.4.9. Mốc M4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1500"/>
          </w:tcPr>
          <w:p>
            <w:pPr>
              <w:spacing w:before="0" w:after="40"/>
              <w:jc w:val="left"/>
            </w:pPr>
            <w:r>
              <w:rPr>
                <w:rFonts w:ascii="Times New Roman" w:hAnsi="Times New Roman" w:eastAsia="Times New Roman" w:cs="Times New Roman"/>
                <w:b w:val="0"/>
                <w:i w:val="0"/>
                <w:caps w:val="0"/>
                <w:color w:val="000000"/>
                <w:sz w:val="24"/>
              </w:rPr>
              <w:t>Trưởng nhóm quá tải do kiêm quản lý dự án và kiến trúc</w:t>
            </w:r>
          </w:p>
        </w:tc>
        <w:tc>
          <w:tcPr>
            <w:tcW w:type="dxa" w:w="14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6,6</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3.1.1, 3.1.2. Mốc M1 (14/04/2027)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1500"/>
          </w:tcPr>
          <w:p>
            <w:pPr>
              <w:spacing w:before="0" w:after="40"/>
              <w:jc w:val="left"/>
            </w:pPr>
            <w:r>
              <w:rPr>
                <w:rFonts w:ascii="Times New Roman" w:hAnsi="Times New Roman" w:eastAsia="Times New Roman" w:cs="Times New Roman"/>
                <w:b w:val="0"/>
                <w:i w:val="0"/>
                <w:caps w:val="0"/>
                <w:color w:val="000000"/>
                <w:sz w:val="24"/>
              </w:rPr>
              <w:t>Hệ thống gián đoạn, không bảo đảm hoạt động liên tục 24 giờ, 365 ngày</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4.5.1, 4.4.8. Mốc M4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1500"/>
          </w:tcPr>
          <w:p>
            <w:pPr>
              <w:spacing w:before="0" w:after="40"/>
              <w:jc w:val="left"/>
            </w:pPr>
            <w:r>
              <w:rPr>
                <w:rFonts w:ascii="Times New Roman" w:hAnsi="Times New Roman" w:eastAsia="Times New Roman" w:cs="Times New Roman"/>
                <w:b w:val="0"/>
                <w:i w:val="0"/>
                <w:caps w:val="0"/>
                <w:color w:val="000000"/>
                <w:sz w:val="24"/>
              </w:rPr>
              <w:t>Chủ đầu tư yêu cầu bổ sung thanh toán trực tuyến cho đơn hàng</w:t>
            </w:r>
          </w:p>
        </w:tc>
        <w:tc>
          <w:tcPr>
            <w:tcW w:type="dxa" w:w="1400"/>
          </w:tcPr>
          <w:p>
            <w:pPr>
              <w:spacing w:before="0" w:after="40"/>
              <w:jc w:val="left"/>
            </w:pPr>
            <w:r>
              <w:rPr>
                <w:rFonts w:ascii="Times New Roman" w:hAnsi="Times New Roman" w:eastAsia="Times New Roman" w:cs="Times New Roman"/>
                <w:b w:val="0"/>
                <w:i w:val="0"/>
                <w:caps w:val="0"/>
                <w:color w:val="000000"/>
                <w:sz w:val="24"/>
              </w:rPr>
              <w:t>Phạm vi và yêu cầu</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5,0</w:t>
            </w:r>
          </w:p>
        </w:tc>
        <w:tc>
          <w:tcPr>
            <w:tcW w:type="dxa" w:w="1300"/>
          </w:tcPr>
          <w:p>
            <w:pPr>
              <w:spacing w:before="0" w:after="40"/>
              <w:jc w:val="left"/>
            </w:pPr>
            <w:r>
              <w:rPr>
                <w:rFonts w:ascii="Times New Roman" w:hAnsi="Times New Roman" w:eastAsia="Times New Roman" w:cs="Times New Roman"/>
                <w:b w:val="0"/>
                <w:i w:val="0"/>
                <w:caps w:val="0"/>
                <w:color w:val="000000"/>
                <w:sz w:val="24"/>
              </w:rPr>
              <w:t>Né tránh</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3.2.7, 3.3.9. Mốc M3 (08/07/2027)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1500"/>
          </w:tcPr>
          <w:p>
            <w:pPr>
              <w:spacing w:before="0" w:after="40"/>
              <w:jc w:val="left"/>
            </w:pPr>
            <w:r>
              <w:rPr>
                <w:rFonts w:ascii="Times New Roman" w:hAnsi="Times New Roman" w:eastAsia="Times New Roman" w:cs="Times New Roman"/>
                <w:b w:val="0"/>
                <w:i w:val="0"/>
                <w:caps w:val="0"/>
                <w:color w:val="000000"/>
                <w:sz w:val="24"/>
              </w:rPr>
              <w:t>Thư viện mã nguồn mở có giấy phép không phù hợp với điều khoản quyền sở hữu thuộc Chủ đầu tư</w:t>
            </w:r>
          </w:p>
        </w:tc>
        <w:tc>
          <w:tcPr>
            <w:tcW w:type="dxa" w:w="1400"/>
          </w:tcPr>
          <w:p>
            <w:pPr>
              <w:spacing w:before="0" w:after="40"/>
              <w:jc w:val="left"/>
            </w:pPr>
            <w:r>
              <w:rPr>
                <w:rFonts w:ascii="Times New Roman" w:hAnsi="Times New Roman" w:eastAsia="Times New Roman" w:cs="Times New Roman"/>
                <w:b w:val="0"/>
                <w:i w:val="0"/>
                <w:caps w:val="0"/>
                <w:color w:val="000000"/>
                <w:sz w:val="24"/>
              </w:rPr>
              <w:t>Pháp lý và hợp đồng</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4</w:t>
            </w:r>
          </w:p>
        </w:tc>
        <w:tc>
          <w:tcPr>
            <w:tcW w:type="dxa" w:w="550"/>
          </w:tcPr>
          <w:p>
            <w:pPr>
              <w:spacing w:before="0" w:after="40"/>
              <w:jc w:val="center"/>
            </w:pPr>
            <w:r>
              <w:rPr>
                <w:rFonts w:ascii="Times New Roman" w:hAnsi="Times New Roman" w:eastAsia="Times New Roman" w:cs="Times New Roman"/>
                <w:b w:val="0"/>
                <w:i w:val="0"/>
                <w:caps w:val="0"/>
                <w:color w:val="000000"/>
                <w:sz w:val="24"/>
              </w:rPr>
              <w:t>8</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600"/>
          </w:tcPr>
          <w:p>
            <w:pPr>
              <w:spacing w:before="0" w:after="40"/>
              <w:jc w:val="center"/>
            </w:pPr>
            <w:r>
              <w:rPr>
                <w:rFonts w:ascii="Times New Roman" w:hAnsi="Times New Roman" w:eastAsia="Times New Roman" w:cs="Times New Roman"/>
                <w:b w:val="0"/>
                <w:i w:val="0"/>
                <w:caps w:val="0"/>
                <w:color w:val="000000"/>
                <w:sz w:val="24"/>
              </w:rPr>
              <w:t>B</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1,3</w:t>
            </w:r>
          </w:p>
        </w:tc>
        <w:tc>
          <w:tcPr>
            <w:tcW w:type="dxa" w:w="1300"/>
          </w:tcPr>
          <w:p>
            <w:pPr>
              <w:spacing w:before="0" w:after="40"/>
              <w:jc w:val="left"/>
            </w:pPr>
            <w:r>
              <w:rPr>
                <w:rFonts w:ascii="Times New Roman" w:hAnsi="Times New Roman" w:eastAsia="Times New Roman" w:cs="Times New Roman"/>
                <w:b w:val="0"/>
                <w:i w:val="0"/>
                <w:caps w:val="0"/>
                <w:color w:val="000000"/>
                <w:sz w:val="24"/>
              </w:rPr>
              <w:t>Né tránh</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4.5.5. Mốc M7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1500"/>
          </w:tcPr>
          <w:p>
            <w:pPr>
              <w:spacing w:before="0" w:after="40"/>
              <w:jc w:val="left"/>
            </w:pPr>
            <w:r>
              <w:rPr>
                <w:rFonts w:ascii="Times New Roman" w:hAnsi="Times New Roman" w:eastAsia="Times New Roman" w:cs="Times New Roman"/>
                <w:b w:val="0"/>
                <w:i w:val="0"/>
                <w:caps w:val="0"/>
                <w:color w:val="000000"/>
                <w:sz w:val="24"/>
              </w:rPr>
              <w:t>Cán bộ Chủ đầu tư chưa sẵn sàng vận hành theo quy trình vận hành mới</w:t>
            </w:r>
          </w:p>
        </w:tc>
        <w:tc>
          <w:tcPr>
            <w:tcW w:type="dxa" w:w="1400"/>
          </w:tcPr>
          <w:p>
            <w:pPr>
              <w:spacing w:before="0" w:after="40"/>
              <w:jc w:val="left"/>
            </w:pPr>
            <w:r>
              <w:rPr>
                <w:rFonts w:ascii="Times New Roman" w:hAnsi="Times New Roman" w:eastAsia="Times New Roman" w:cs="Times New Roman"/>
                <w:b w:val="0"/>
                <w:i w:val="0"/>
                <w:caps w:val="0"/>
                <w:color w:val="000000"/>
                <w:sz w:val="24"/>
              </w:rPr>
              <w:t>Vận hành và chuyển đổi</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2400"/>
          </w:tcPr>
          <w:p>
            <w:pPr>
              <w:spacing w:before="0" w:after="40"/>
              <w:jc w:val="left"/>
            </w:pPr>
            <w:r>
              <w:rPr>
                <w:rFonts w:ascii="Times New Roman" w:hAnsi="Times New Roman" w:eastAsia="Times New Roman" w:cs="Times New Roman"/>
                <w:b w:val="0"/>
                <w:i w:val="0"/>
                <w:caps w:val="0"/>
                <w:color w:val="000000"/>
                <w:sz w:val="24"/>
              </w:rPr>
              <w:t>Gói 3.5.1, 3.4.13. Mốc M5 (27/07/2027)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15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đến muộn hơn 10/06/2027 hoặc sai định dạng</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3,4</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4.5.3, 3.5.3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15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1400"/>
          </w:tcPr>
          <w:p>
            <w:pPr>
              <w:spacing w:before="0" w:after="40"/>
              <w:jc w:val="left"/>
            </w:pPr>
            <w:r>
              <w:rPr>
                <w:rFonts w:ascii="Times New Roman" w:hAnsi="Times New Roman" w:eastAsia="Times New Roman" w:cs="Times New Roman"/>
                <w:b w:val="0"/>
                <w:i w:val="0"/>
                <w:caps w:val="0"/>
                <w:color w:val="000000"/>
                <w:sz w:val="24"/>
              </w:rPr>
              <w:t>Kỹ thuật</w:t>
            </w:r>
          </w:p>
        </w:tc>
        <w:tc>
          <w:tcPr>
            <w:tcW w:type="dxa" w:w="450"/>
          </w:tcPr>
          <w:p>
            <w:pPr>
              <w:spacing w:before="0" w:after="40"/>
              <w:jc w:val="center"/>
            </w:pPr>
            <w:r>
              <w:rPr>
                <w:rFonts w:ascii="Times New Roman" w:hAnsi="Times New Roman" w:eastAsia="Times New Roman" w:cs="Times New Roman"/>
                <w:b w:val="0"/>
                <w:i w:val="0"/>
                <w:caps w:val="0"/>
                <w:color w:val="000000"/>
                <w:sz w:val="24"/>
              </w:rPr>
              <w:t>3</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6,7</w:t>
            </w:r>
          </w:p>
        </w:tc>
        <w:tc>
          <w:tcPr>
            <w:tcW w:type="dxa" w:w="1300"/>
          </w:tcPr>
          <w:p>
            <w:pPr>
              <w:spacing w:before="0" w:after="40"/>
              <w:jc w:val="left"/>
            </w:pPr>
            <w:r>
              <w:rPr>
                <w:rFonts w:ascii="Times New Roman" w:hAnsi="Times New Roman" w:eastAsia="Times New Roman" w:cs="Times New Roman"/>
                <w:b w:val="0"/>
                <w:i w:val="0"/>
                <w:caps w:val="0"/>
                <w:color w:val="000000"/>
                <w:sz w:val="24"/>
              </w:rPr>
              <w:t>Khai thác</w:t>
            </w:r>
          </w:p>
        </w:tc>
        <w:tc>
          <w:tcPr>
            <w:tcW w:type="dxa" w:w="16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2400"/>
          </w:tcPr>
          <w:p>
            <w:pPr>
              <w:spacing w:before="0" w:after="40"/>
              <w:jc w:val="left"/>
            </w:pPr>
            <w:r>
              <w:rPr>
                <w:rFonts w:ascii="Times New Roman" w:hAnsi="Times New Roman" w:eastAsia="Times New Roman" w:cs="Times New Roman"/>
                <w:b w:val="0"/>
                <w:i w:val="0"/>
                <w:caps w:val="0"/>
                <w:color w:val="000000"/>
                <w:sz w:val="24"/>
              </w:rPr>
              <w:t>Gói 4.3.1, 4.3.3, 1.2.4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1500"/>
          </w:tcPr>
          <w:p>
            <w:pPr>
              <w:spacing w:before="0" w:after="40"/>
              <w:jc w:val="left"/>
            </w:pPr>
            <w:r>
              <w:rPr>
                <w:rFonts w:ascii="Times New Roman" w:hAnsi="Times New Roman" w:eastAsia="Times New Roman" w:cs="Times New Roman"/>
                <w:b w:val="0"/>
                <w:i w:val="0"/>
                <w:caps w:val="0"/>
                <w:color w:val="000000"/>
                <w:sz w:val="24"/>
              </w:rPr>
              <w:t>Lỗi phát sinh trong thời hạn bảo hành 12 tháng vượt chi phí bảo hành đã dự tính</w:t>
            </w:r>
          </w:p>
        </w:tc>
        <w:tc>
          <w:tcPr>
            <w:tcW w:type="dxa" w:w="14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4,2</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1.5.3. Mốc M7 (29/07/2027)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1500"/>
          </w:tcPr>
          <w:p>
            <w:pPr>
              <w:spacing w:before="0" w:after="40"/>
              <w:jc w:val="left"/>
            </w:pPr>
            <w:r>
              <w:rPr>
                <w:rFonts w:ascii="Times New Roman" w:hAnsi="Times New Roman" w:eastAsia="Times New Roman" w:cs="Times New Roman"/>
                <w:b w:val="0"/>
                <w:i w:val="0"/>
                <w:caps w:val="0"/>
                <w:color w:val="000000"/>
                <w:sz w:val="24"/>
              </w:rPr>
              <w:t>Phụ thuộc vào ít người có năng lực triển khai hạ tầng</w:t>
            </w:r>
          </w:p>
        </w:tc>
        <w:tc>
          <w:tcPr>
            <w:tcW w:type="dxa" w:w="1400"/>
          </w:tcPr>
          <w:p>
            <w:pPr>
              <w:spacing w:before="0" w:after="40"/>
              <w:jc w:val="left"/>
            </w:pPr>
            <w:r>
              <w:rPr>
                <w:rFonts w:ascii="Times New Roman" w:hAnsi="Times New Roman" w:eastAsia="Times New Roman" w:cs="Times New Roman"/>
                <w:b w:val="0"/>
                <w:i w:val="0"/>
                <w:caps w:val="0"/>
                <w:color w:val="000000"/>
                <w:sz w:val="24"/>
              </w:rPr>
              <w:t>Nhân sự</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3,1</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4.5.1, 3.5.3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15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400"/>
          </w:tcPr>
          <w:p>
            <w:pPr>
              <w:spacing w:before="0" w:after="40"/>
              <w:jc w:val="left"/>
            </w:pPr>
            <w:r>
              <w:rPr>
                <w:rFonts w:ascii="Times New Roman" w:hAnsi="Times New Roman" w:eastAsia="Times New Roman" w:cs="Times New Roman"/>
                <w:b w:val="0"/>
                <w:i w:val="0"/>
                <w:caps w:val="0"/>
                <w:color w:val="000000"/>
                <w:sz w:val="24"/>
              </w:rPr>
              <w:t>Tích hợp và đối tác</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550"/>
          </w:tcPr>
          <w:p>
            <w:pPr>
              <w:spacing w:before="0" w:after="40"/>
              <w:jc w:val="center"/>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100"/>
          </w:tcPr>
          <w:p>
            <w:pPr>
              <w:spacing w:before="0" w:after="40"/>
              <w:jc w:val="right"/>
            </w:pPr>
            <w:r>
              <w:rPr>
                <w:rFonts w:ascii="Times New Roman" w:hAnsi="Times New Roman" w:eastAsia="Times New Roman" w:cs="Times New Roman"/>
                <w:b w:val="0"/>
                <w:i w:val="0"/>
                <w:caps w:val="0"/>
                <w:color w:val="000000"/>
                <w:sz w:val="24"/>
              </w:rPr>
              <w:t>1,2</w:t>
            </w:r>
          </w:p>
        </w:tc>
        <w:tc>
          <w:tcPr>
            <w:tcW w:type="dxa" w:w="1300"/>
          </w:tcPr>
          <w:p>
            <w:pPr>
              <w:spacing w:before="0" w:after="40"/>
              <w:jc w:val="left"/>
            </w:pPr>
            <w:r>
              <w:rPr>
                <w:rFonts w:ascii="Times New Roman" w:hAnsi="Times New Roman" w:eastAsia="Times New Roman" w:cs="Times New Roman"/>
                <w:b w:val="0"/>
                <w:i w:val="0"/>
                <w:caps w:val="0"/>
                <w:color w:val="000000"/>
                <w:sz w:val="24"/>
              </w:rPr>
              <w:t>Tăng cường</w:t>
            </w:r>
          </w:p>
        </w:tc>
        <w:tc>
          <w:tcPr>
            <w:tcW w:type="dxa" w:w="16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2400"/>
          </w:tcPr>
          <w:p>
            <w:pPr>
              <w:spacing w:before="0" w:after="40"/>
              <w:jc w:val="left"/>
            </w:pPr>
            <w:r>
              <w:rPr>
                <w:rFonts w:ascii="Times New Roman" w:hAnsi="Times New Roman" w:eastAsia="Times New Roman" w:cs="Times New Roman"/>
                <w:b w:val="0"/>
                <w:i w:val="0"/>
                <w:caps w:val="0"/>
                <w:color w:val="000000"/>
                <w:sz w:val="24"/>
              </w:rPr>
              <w:t>Gói 4.4.3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1500"/>
          </w:tcPr>
          <w:p>
            <w:pPr>
              <w:spacing w:before="0" w:after="40"/>
              <w:jc w:val="left"/>
            </w:pPr>
            <w:r>
              <w:rPr>
                <w:rFonts w:ascii="Times New Roman" w:hAnsi="Times New Roman" w:eastAsia="Times New Roman" w:cs="Times New Roman"/>
                <w:b w:val="0"/>
                <w:i w:val="0"/>
                <w:caps w:val="0"/>
                <w:color w:val="000000"/>
                <w:sz w:val="24"/>
              </w:rPr>
              <w:t>Mốc M3 hoặc M9 trễ làm dời khoản thu Đợt 3, Đợt 6</w:t>
            </w:r>
          </w:p>
        </w:tc>
        <w:tc>
          <w:tcPr>
            <w:tcW w:type="dxa" w:w="1400"/>
          </w:tcPr>
          <w:p>
            <w:pPr>
              <w:spacing w:before="0" w:after="40"/>
              <w:jc w:val="left"/>
            </w:pPr>
            <w:r>
              <w:rPr>
                <w:rFonts w:ascii="Times New Roman" w:hAnsi="Times New Roman" w:eastAsia="Times New Roman" w:cs="Times New Roman"/>
                <w:b w:val="0"/>
                <w:i w:val="0"/>
                <w:caps w:val="0"/>
                <w:color w:val="000000"/>
                <w:sz w:val="24"/>
              </w:rPr>
              <w:t>Chi phí</w:t>
            </w:r>
          </w:p>
        </w:tc>
        <w:tc>
          <w:tcPr>
            <w:tcW w:type="dxa" w:w="450"/>
          </w:tcPr>
          <w:p>
            <w:pPr>
              <w:spacing w:before="0" w:after="40"/>
              <w:jc w:val="center"/>
            </w:pPr>
            <w:r>
              <w:rPr>
                <w:rFonts w:ascii="Times New Roman" w:hAnsi="Times New Roman" w:eastAsia="Times New Roman" w:cs="Times New Roman"/>
                <w:b w:val="0"/>
                <w:i w:val="0"/>
                <w:caps w:val="0"/>
                <w:color w:val="000000"/>
                <w:sz w:val="24"/>
              </w:rPr>
              <w:t>2</w:t>
            </w:r>
          </w:p>
        </w:tc>
        <w:tc>
          <w:tcPr>
            <w:tcW w:type="dxa" w:w="450"/>
          </w:tcPr>
          <w:p>
            <w:pPr>
              <w:spacing w:before="0" w:after="40"/>
              <w:jc w:val="center"/>
            </w:pPr>
            <w:r>
              <w:rPr>
                <w:rFonts w:ascii="Times New Roman" w:hAnsi="Times New Roman" w:eastAsia="Times New Roman" w:cs="Times New Roman"/>
                <w:b w:val="0"/>
                <w:i w:val="0"/>
                <w:caps w:val="0"/>
                <w:color w:val="000000"/>
                <w:sz w:val="24"/>
              </w:rPr>
              <w:t>1</w:t>
            </w:r>
          </w:p>
        </w:tc>
        <w:tc>
          <w:tcPr>
            <w:tcW w:type="dxa" w:w="550"/>
          </w:tcPr>
          <w:p>
            <w:pPr>
              <w:spacing w:before="0" w:after="40"/>
              <w:jc w:val="center"/>
            </w:pPr>
            <w:r>
              <w:rPr>
                <w:rFonts w:ascii="Times New Roman" w:hAnsi="Times New Roman" w:eastAsia="Times New Roman" w:cs="Times New Roman"/>
                <w:b w:val="0"/>
                <w:i w:val="0"/>
                <w:caps w:val="0"/>
                <w:color w:val="000000"/>
                <w:sz w:val="24"/>
              </w:rPr>
              <w:t>2</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600"/>
          </w:tcPr>
          <w:p>
            <w:pPr>
              <w:spacing w:before="0" w:after="40"/>
              <w:jc w:val="center"/>
            </w:pPr>
            <w:r>
              <w:rPr>
                <w:rFonts w:ascii="Times New Roman" w:hAnsi="Times New Roman" w:eastAsia="Times New Roman" w:cs="Times New Roman"/>
                <w:b w:val="0"/>
                <w:i w:val="0"/>
                <w:caps w:val="0"/>
                <w:color w:val="000000"/>
                <w:sz w:val="24"/>
              </w:rPr>
              <w:t>C</w:t>
            </w:r>
          </w:p>
        </w:tc>
        <w:tc>
          <w:tcPr>
            <w:tcW w:type="dxa" w:w="1100"/>
          </w:tcPr>
          <w:p>
            <w:pPr>
              <w:spacing w:before="0" w:after="40"/>
              <w:jc w:val="center"/>
            </w:pPr>
            <w:r>
              <w:rPr>
                <w:rFonts w:ascii="Times New Roman" w:hAnsi="Times New Roman" w:eastAsia="Times New Roman" w:cs="Times New Roman"/>
                <w:b w:val="0"/>
                <w:i w:val="0"/>
                <w:caps w:val="0"/>
                <w:color w:val="000000"/>
                <w:sz w:val="24"/>
              </w:rPr>
              <w:t>Đang theo dõi</w:t>
            </w:r>
          </w:p>
        </w:tc>
        <w:tc>
          <w:tcPr>
            <w:tcW w:type="dxa" w:w="1100"/>
          </w:tcPr>
          <w:p>
            <w:pPr>
              <w:spacing w:before="0" w:after="40"/>
              <w:jc w:val="right"/>
            </w:pPr>
            <w:r>
              <w:rPr>
                <w:rFonts w:ascii="Times New Roman" w:hAnsi="Times New Roman" w:eastAsia="Times New Roman" w:cs="Times New Roman"/>
                <w:b w:val="0"/>
                <w:i w:val="0"/>
                <w:caps w:val="0"/>
                <w:color w:val="000000"/>
                <w:sz w:val="24"/>
              </w:rPr>
              <w:t>1,0</w:t>
            </w:r>
          </w:p>
        </w:tc>
        <w:tc>
          <w:tcPr>
            <w:tcW w:type="dxa" w:w="1300"/>
          </w:tcPr>
          <w:p>
            <w:pPr>
              <w:spacing w:before="0" w:after="40"/>
              <w:jc w:val="left"/>
            </w:pPr>
            <w:r>
              <w:rPr>
                <w:rFonts w:ascii="Times New Roman" w:hAnsi="Times New Roman" w:eastAsia="Times New Roman" w:cs="Times New Roman"/>
                <w:b w:val="0"/>
                <w:i w:val="0"/>
                <w:caps w:val="0"/>
                <w:color w:val="000000"/>
                <w:sz w:val="24"/>
              </w:rPr>
              <w:t>Giảm nhẹ</w:t>
            </w:r>
          </w:p>
        </w:tc>
        <w:tc>
          <w:tcPr>
            <w:tcW w:type="dxa" w:w="16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2400"/>
          </w:tcPr>
          <w:p>
            <w:pPr>
              <w:spacing w:before="0" w:after="40"/>
              <w:jc w:val="left"/>
            </w:pPr>
            <w:r>
              <w:rPr>
                <w:rFonts w:ascii="Times New Roman" w:hAnsi="Times New Roman" w:eastAsia="Times New Roman" w:cs="Times New Roman"/>
                <w:b w:val="0"/>
                <w:i w:val="0"/>
                <w:caps w:val="0"/>
                <w:color w:val="000000"/>
                <w:sz w:val="24"/>
              </w:rPr>
              <w:t>Gói 4.4.6, 5.4.5. Mốc M3 (08/07/2027), M9 (27/07/2027)</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Nguyên nhân, tác động và căn cứ đánh giá của từng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900"/>
        <w:gridCol w:w="3300"/>
        <w:gridCol w:w="3000"/>
        <w:gridCol w:w="3100"/>
        <w:gridCol w:w="3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900"/>
          </w:tcPr>
          <w:p>
            <w:pPr>
              <w:spacing w:before="0" w:after="40"/>
              <w:jc w:val="left"/>
            </w:pPr>
            <w:r>
              <w:rPr>
                <w:rFonts w:ascii="Times New Roman" w:hAnsi="Times New Roman" w:eastAsia="Times New Roman" w:cs="Times New Roman"/>
                <w:b w:val="0"/>
                <w:i w:val="0"/>
                <w:caps w:val="0"/>
                <w:color w:val="000000"/>
                <w:sz w:val="24"/>
              </w:rPr>
              <w:t>Loại</w:t>
            </w:r>
          </w:p>
        </w:tc>
        <w:tc>
          <w:tcPr>
            <w:tcW w:type="dxa" w:w="33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3000"/>
          </w:tcPr>
          <w:p>
            <w:pPr>
              <w:spacing w:before="0" w:after="40"/>
              <w:jc w:val="left"/>
            </w:pPr>
            <w:r>
              <w:rPr>
                <w:rFonts w:ascii="Times New Roman" w:hAnsi="Times New Roman" w:eastAsia="Times New Roman" w:cs="Times New Roman"/>
                <w:b w:val="0"/>
                <w:i w:val="0"/>
                <w:caps w:val="0"/>
                <w:color w:val="000000"/>
                <w:sz w:val="24"/>
              </w:rPr>
              <w:t>Tác động</w:t>
            </w:r>
          </w:p>
        </w:tc>
        <w:tc>
          <w:tcPr>
            <w:tcW w:type="dxa" w:w="3100"/>
          </w:tcPr>
          <w:p>
            <w:pPr>
              <w:spacing w:before="0" w:after="40"/>
              <w:jc w:val="left"/>
            </w:pPr>
            <w:r>
              <w:rPr>
                <w:rFonts w:ascii="Times New Roman" w:hAnsi="Times New Roman" w:eastAsia="Times New Roman" w:cs="Times New Roman"/>
                <w:b w:val="0"/>
                <w:i w:val="0"/>
                <w:caps w:val="0"/>
                <w:color w:val="000000"/>
                <w:sz w:val="24"/>
              </w:rPr>
              <w:t>Căn cứ xác suất</w:t>
            </w:r>
          </w:p>
        </w:tc>
        <w:tc>
          <w:tcPr>
            <w:tcW w:type="dxa" w:w="3100"/>
          </w:tcPr>
          <w:p>
            <w:pPr>
              <w:spacing w:before="0" w:after="40"/>
              <w:jc w:val="left"/>
            </w:pPr>
            <w:r>
              <w:rPr>
                <w:rFonts w:ascii="Times New Roman" w:hAnsi="Times New Roman" w:eastAsia="Times New Roman" w:cs="Times New Roman"/>
                <w:b w:val="0"/>
                <w:i w:val="0"/>
                <w:caps w:val="0"/>
                <w:color w:val="000000"/>
                <w:sz w:val="24"/>
              </w:rPr>
              <w:t>Căn cứ mức tác động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HSMT và RFP không mô tả nền tảng, phương thức kết nối, cấu trúc dữ liệu của Main System. Đặc tả giao diện tích hợp phụ thuộc tài liệu Chủ đầu tư cung cấp chậm nhất 14/04/2027 (CK1), kiểm thử tích hợp phụ thuộc môi trường thử và thay đổi phía Main System chậm nhất 20/05/2027 (CK2, CK8)</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đồng bộ sản phẩm, tồn kho, chuyển đơn hàng và trạng thái vận chuyển, chậm kiểm thử tích hợp và mốc M3 gắn Đợt 3</w:t>
            </w:r>
          </w:p>
        </w:tc>
        <w:tc>
          <w:tcPr>
            <w:tcW w:type="dxa" w:w="3100"/>
          </w:tcPr>
          <w:p>
            <w:pPr>
              <w:spacing w:before="0" w:after="40"/>
              <w:jc w:val="left"/>
            </w:pPr>
            <w:r>
              <w:rPr>
                <w:rFonts w:ascii="Times New Roman" w:hAnsi="Times New Roman" w:eastAsia="Times New Roman" w:cs="Times New Roman"/>
                <w:b w:val="0"/>
                <w:i w:val="0"/>
                <w:caps w:val="0"/>
                <w:color w:val="000000"/>
                <w:sz w:val="24"/>
              </w:rPr>
              <w:t>Nhà thầu chưa có thông tin kỹ thuật nào về Main System, cả năm luồng tích hợp phụ thuộc tài liệu và môi trường do Chủ đầu tư cung cấp, hạn CK2 chỉ trước kiểm thử tích hợp vài ngày. Dịch vụ giả lập (4.4.1) giảm tác động nhưng không giảm khả năng xảy ra</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6 ngày (mức 3), chi phí bằng 1,08% giá chào (mức 2), làm chậm mốc gắn đợt thanh toán M3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Khắc phục lỗi kiểm thử chấp nhận gắn ngày bắt đầu 16/07/2027 và phải hoàn thành trong khoảng kiểm thử chấp nhận, Chủ đầu tư có thể đề nghị điều chỉnh ngoài lỗi</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đủ thời gian khắc phục trước cut over, phải dời ngày cut over hoặc bàn giao với lỗi tồn tại</w:t>
            </w:r>
          </w:p>
        </w:tc>
        <w:tc>
          <w:tcPr>
            <w:tcW w:type="dxa" w:w="3100"/>
          </w:tcPr>
          <w:p>
            <w:pPr>
              <w:spacing w:before="0" w:after="40"/>
              <w:jc w:val="left"/>
            </w:pPr>
            <w:r>
              <w:rPr>
                <w:rFonts w:ascii="Times New Roman" w:hAnsi="Times New Roman" w:eastAsia="Times New Roman" w:cs="Times New Roman"/>
                <w:b w:val="0"/>
                <w:i w:val="0"/>
                <w:caps w:val="0"/>
                <w:color w:val="000000"/>
                <w:sz w:val="24"/>
              </w:rPr>
              <w:t>Khối lượng khắc phục trong khoảng kiểm thử chấp nhận đã lập 4 gói nhưng số lỗi thực tế phụ thuộc mức ổn định sau kiểm thử hệ thống</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5 theo chậm 2 ngày (mức 2), chi phí bằng 1,18% giá chào (mức 2), làm lùi ngày cut over (mức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RFP chỉ nêu tên các sản phẩm đặc tả, cấu trúc cơ sở dữ liệu và menu. Nội dung chi tiết do nhà thầu lập và phải được Chủ đầu tư xác nhận, trong khi thiết kế chi tiết và lập trình từng chức năng bắt đầu trước bước xác nhận đặc tả (3.2.5)</w:t>
            </w:r>
          </w:p>
        </w:tc>
        <w:tc>
          <w:tcPr>
            <w:tcW w:type="dxa" w:w="3000"/>
          </w:tcPr>
          <w:p>
            <w:pPr>
              <w:spacing w:before="0" w:after="40"/>
              <w:jc w:val="left"/>
            </w:pPr>
            <w:r>
              <w:rPr>
                <w:rFonts w:ascii="Times New Roman" w:hAnsi="Times New Roman" w:eastAsia="Times New Roman" w:cs="Times New Roman"/>
                <w:b w:val="0"/>
                <w:i w:val="0"/>
                <w:caps w:val="0"/>
                <w:color w:val="000000"/>
                <w:sz w:val="24"/>
              </w:rPr>
              <w:t>Phải điều chỉnh thiết kế chi tiết, Selling DB và mã nguồn đã lập, mốc M2 gắn Đợt 2 bị chậm</w:t>
            </w:r>
          </w:p>
        </w:tc>
        <w:tc>
          <w:tcPr>
            <w:tcW w:type="dxa" w:w="3100"/>
          </w:tcPr>
          <w:p>
            <w:pPr>
              <w:spacing w:before="0" w:after="40"/>
              <w:jc w:val="left"/>
            </w:pPr>
            <w:r>
              <w:rPr>
                <w:rFonts w:ascii="Times New Roman" w:hAnsi="Times New Roman" w:eastAsia="Times New Roman" w:cs="Times New Roman"/>
                <w:b w:val="0"/>
                <w:i w:val="0"/>
                <w:caps w:val="0"/>
                <w:color w:val="000000"/>
                <w:sz w:val="24"/>
              </w:rPr>
              <w:t>Đặc tả lập từ RFP chỉ có tên sản phẩm và lập trình bắt đầu trước khi hai bên xác nhận nên khả năng có thay đổi là đáng kể. Chủ đầu tư đã cam kết chủ sản phẩm có thẩm quyền làm rõ yêu cầu 2 đến 3 buổi mỗi tuần trong S1 đến S3 (CK5) nên không xếp mức cao</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5 ngày (mức 3), chi phí bằng 1,29% giá chào (mức 2), làm chậm mốc gắn đợt thanh toán M2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Bảy vị trí bổ sung là nhân sự của nhà thầu nhưng chưa có quyết định điều động nội bộ vào dự án, các vị trí phát triển và kiểm thử được huy động sớm (Lê Quang Huy, Bùi Anh Tuấn từ S1, Đỗ Minh Quân, Trần Thu Hà từ S2, Phạm Ngọc Anh, Trương Quốc Việt từ S3) nên thời gian bàn giao công việc đang làm ngắn</w:t>
            </w:r>
          </w:p>
        </w:tc>
        <w:tc>
          <w:tcPr>
            <w:tcW w:type="dxa" w:w="3000"/>
          </w:tcPr>
          <w:p>
            <w:pPr>
              <w:spacing w:before="0" w:after="40"/>
              <w:jc w:val="left"/>
            </w:pPr>
            <w:r>
              <w:rPr>
                <w:rFonts w:ascii="Times New Roman" w:hAnsi="Times New Roman" w:eastAsia="Times New Roman" w:cs="Times New Roman"/>
                <w:b w:val="0"/>
                <w:i w:val="0"/>
                <w:caps w:val="0"/>
                <w:color w:val="000000"/>
                <w:sz w:val="24"/>
              </w:rPr>
              <w:t>Thiếu người cho lập trình, kiểm thử phân hệ và tích hợp, chậm mốc M3 gắn Đợt 3</w:t>
            </w:r>
          </w:p>
        </w:tc>
        <w:tc>
          <w:tcPr>
            <w:tcW w:type="dxa" w:w="3100"/>
          </w:tcPr>
          <w:p>
            <w:pPr>
              <w:spacing w:before="0" w:after="40"/>
              <w:jc w:val="left"/>
            </w:pPr>
            <w:r>
              <w:rPr>
                <w:rFonts w:ascii="Times New Roman" w:hAnsi="Times New Roman" w:eastAsia="Times New Roman" w:cs="Times New Roman"/>
                <w:b w:val="0"/>
                <w:i w:val="0"/>
                <w:caps w:val="0"/>
                <w:color w:val="000000"/>
                <w:sz w:val="24"/>
              </w:rPr>
              <w:t>Đã có họ tên dự kiến cho cả bảy vị trí nhưng nhóm ghi còn chờ quyết định điều động. Huy động sớm một sprint rút ngắn thời gian chuẩn bị</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5 ngày (mức 3), chi phí bằng 1,62% giá chào (mức 2), làm chậm mốc gắn đợt thanh toán M3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Lương tham chiếu lấy theo mức trung vị của báo cáo thị trường, bảy vị trí bổ sung chưa ký hợp đồng lao động</w:t>
            </w:r>
          </w:p>
        </w:tc>
        <w:tc>
          <w:tcPr>
            <w:tcW w:type="dxa" w:w="3000"/>
          </w:tcPr>
          <w:p>
            <w:pPr>
              <w:spacing w:before="0" w:after="40"/>
              <w:jc w:val="left"/>
            </w:pPr>
            <w:r>
              <w:rPr>
                <w:rFonts w:ascii="Times New Roman" w:hAnsi="Times New Roman" w:eastAsia="Times New Roman" w:cs="Times New Roman"/>
                <w:b w:val="0"/>
                <w:i w:val="0"/>
                <w:caps w:val="0"/>
                <w:color w:val="000000"/>
                <w:sz w:val="24"/>
              </w:rPr>
              <w:t>Chi phí lương tăng, giảm phần chi phí chung và lợi nhuận của giá chào</w:t>
            </w:r>
          </w:p>
        </w:tc>
        <w:tc>
          <w:tcPr>
            <w:tcW w:type="dxa" w:w="3100"/>
          </w:tcPr>
          <w:p>
            <w:pPr>
              <w:spacing w:before="0" w:after="40"/>
              <w:jc w:val="left"/>
            </w:pPr>
            <w:r>
              <w:rPr>
                <w:rFonts w:ascii="Times New Roman" w:hAnsi="Times New Roman" w:eastAsia="Times New Roman" w:cs="Times New Roman"/>
                <w:b w:val="0"/>
                <w:i w:val="0"/>
                <w:caps w:val="0"/>
                <w:color w:val="000000"/>
                <w:sz w:val="24"/>
              </w:rPr>
              <w:t>Bảy vị trí chưa có thỏa thuận lương, huy động sớm một sprint làm thời gian thương lượng ngắn, lương tham chiếu lấy ở mức trung vị nên khoảng một nửa thị trường cao hơn</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0 ngày (mức 1), chi phí bằng 3,8% giá chào (mức 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Phần bán hàng trên sàn theo yêu cầu thay đổi CR01 phụ thuộc tài khoản cửa hàng, khóa truy cập và môi trường thử do sàn cấp theo hồ sơ đăng ký của Chủ đầu tư, nhà thầu chưa từng kết nối với sàn được chọn</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kết nối sàn và kiểm thử tích hợp với sàn, chậm kiểm thử chấp nhận phần bán hàng trên sàn và mốc M9 gắn đợt thanh toán 6</w:t>
            </w:r>
          </w:p>
        </w:tc>
        <w:tc>
          <w:tcPr>
            <w:tcW w:type="dxa" w:w="3100"/>
          </w:tcPr>
          <w:p>
            <w:pPr>
              <w:spacing w:before="0" w:after="40"/>
              <w:jc w:val="left"/>
            </w:pPr>
            <w:r>
              <w:rPr>
                <w:rFonts w:ascii="Times New Roman" w:hAnsi="Times New Roman" w:eastAsia="Times New Roman" w:cs="Times New Roman"/>
                <w:b w:val="0"/>
                <w:i w:val="0"/>
                <w:caps w:val="0"/>
                <w:color w:val="000000"/>
                <w:sz w:val="24"/>
              </w:rPr>
              <w:t>Thời gian từ phụ lục đến kiểm thử tích hợp với sàn ngắn, việc cấp tài khoản và khóa truy cập phụ thuộc thủ tục của sàn và Chủ đầu tư, nhà thầu chưa có kinh nghiệm với giao diện lập trình của sàn này</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3 ngày (mức 2), chi phí bằng 0,65% giá chào (mức 1), làm chậm mốc gắn đợt thanh toán M9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Cấu hình môi trường vận hành khác môi trường kiểm thử, dữ liệu vận hành chuyển đổi lần đầu, triển khai gắn ngày cố định trước cut over</w:t>
            </w:r>
          </w:p>
        </w:tc>
        <w:tc>
          <w:tcPr>
            <w:tcW w:type="dxa" w:w="3000"/>
          </w:tcPr>
          <w:p>
            <w:pPr>
              <w:spacing w:before="0" w:after="40"/>
              <w:jc w:val="left"/>
            </w:pPr>
            <w:r>
              <w:rPr>
                <w:rFonts w:ascii="Times New Roman" w:hAnsi="Times New Roman" w:eastAsia="Times New Roman" w:cs="Times New Roman"/>
                <w:b w:val="0"/>
                <w:i w:val="0"/>
                <w:caps w:val="0"/>
                <w:color w:val="000000"/>
                <w:sz w:val="24"/>
              </w:rPr>
              <w:t>Lùi ngày đưa hệ thống vào vận hành, bị phạt chậm tiến độ theo E-ĐKC 15</w:t>
            </w:r>
          </w:p>
        </w:tc>
        <w:tc>
          <w:tcPr>
            <w:tcW w:type="dxa" w:w="3100"/>
          </w:tcPr>
          <w:p>
            <w:pPr>
              <w:spacing w:before="0" w:after="40"/>
              <w:jc w:val="left"/>
            </w:pPr>
            <w:r>
              <w:rPr>
                <w:rFonts w:ascii="Times New Roman" w:hAnsi="Times New Roman" w:eastAsia="Times New Roman" w:cs="Times New Roman"/>
                <w:b w:val="0"/>
                <w:i w:val="0"/>
                <w:caps w:val="0"/>
                <w:color w:val="000000"/>
                <w:sz w:val="24"/>
              </w:rPr>
              <w:t>Có diễn tập triển khai và chuyển đổi dữ liệu trước cut over (3.5.3) và kế hoạch khôi phục được Chủ đầu tư xác nhận (3.5.2)</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5 theo chậm 1 ngày (mức 2), chi phí bằng 0,56% giá chào (mức 1), làm lùi ngày cut over (mức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Website công khai trên internet, lưu thông tin thành viên và địa chỉ giao hàng</w:t>
            </w:r>
          </w:p>
        </w:tc>
        <w:tc>
          <w:tcPr>
            <w:tcW w:type="dxa" w:w="3000"/>
          </w:tcPr>
          <w:p>
            <w:pPr>
              <w:spacing w:before="0" w:after="40"/>
              <w:jc w:val="left"/>
            </w:pPr>
            <w:r>
              <w:rPr>
                <w:rFonts w:ascii="Times New Roman" w:hAnsi="Times New Roman" w:eastAsia="Times New Roman" w:cs="Times New Roman"/>
                <w:b w:val="0"/>
                <w:i w:val="0"/>
                <w:caps w:val="0"/>
                <w:color w:val="000000"/>
                <w:sz w:val="24"/>
              </w:rPr>
              <w:t>Vi phạm nghĩa vụ bảo mật, ảnh hưởng nghiệm thu. Bồi thường theo pháp luật dân sự (E-ĐKC 15) chưa ước lượng được nên chưa tính vào tiền</w:t>
            </w:r>
          </w:p>
        </w:tc>
        <w:tc>
          <w:tcPr>
            <w:tcW w:type="dxa" w:w="3100"/>
          </w:tcPr>
          <w:p>
            <w:pPr>
              <w:spacing w:before="0" w:after="40"/>
              <w:jc w:val="left"/>
            </w:pPr>
            <w:r>
              <w:rPr>
                <w:rFonts w:ascii="Times New Roman" w:hAnsi="Times New Roman" w:eastAsia="Times New Roman" w:cs="Times New Roman"/>
                <w:b w:val="0"/>
                <w:i w:val="0"/>
                <w:caps w:val="0"/>
                <w:color w:val="000000"/>
                <w:sz w:val="24"/>
              </w:rPr>
              <w:t>Có kiểm thử bảo mật tài khoản theo OWASP Top 10 trong kiểm thử phân hệ (2.4.5) và rà soát bản phát hành (4.4.7)</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5 theo chậm 2 ngày (mức 2), chi phí bằng 0,54% giá chào (mức 1), vi phạm hợp đồng (mức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Kiểm thử hệ thống chỉ bắt đầu khi các đợt kiểm thử phân hệ và kiểm thử tích hợp hoàn thành. Nhóm kiểm thử làm gần đủ quỹ thời gian trong S5 nên một đợt kiểm thử chậm sẽ đẩy lùi các gói sau</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chấp nhận bắt đầu muộn, khoảng khắc phục lỗi trước cut over bị rút ngắn, có thể làm lùi ngày cut over</w:t>
            </w:r>
          </w:p>
        </w:tc>
        <w:tc>
          <w:tcPr>
            <w:tcW w:type="dxa" w:w="3100"/>
          </w:tcPr>
          <w:p>
            <w:pPr>
              <w:spacing w:before="0" w:after="40"/>
              <w:jc w:val="left"/>
            </w:pPr>
            <w:r>
              <w:rPr>
                <w:rFonts w:ascii="Times New Roman" w:hAnsi="Times New Roman" w:eastAsia="Times New Roman" w:cs="Times New Roman"/>
                <w:b w:val="0"/>
                <w:i w:val="0"/>
                <w:caps w:val="0"/>
                <w:color w:val="000000"/>
                <w:sz w:val="24"/>
              </w:rPr>
              <w:t>Sau yêu cầu thay đổi CR01, chuỗi trước kiểm thử chấp nhận có dự trữ theo master schedule lập lại lớn hơn khi ký hợp đồng, nhưng các gói kiểm thử và sửa lỗi phân hệ có ít dự trữ và nhóm kiểm thử đồng thời kiểm thử phần bán hàng trên sàn. Vị trí bổ sung được huy động sớm (D1 từ S1, D3 từ S1, D2 từ S2, Q1 từ S2, Q2 từ S3, D4 từ S3) giúp tăng người làm song song</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4 ngày (mức 3), chi phí bằng 1,08% giá chào (mức 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Truy vấn tìm kiếm, lọc trên dữ liệu đồng bộ từ Main System chưa có số liệu tải thực tế, chỉ tiêu KT02, KT03 phải đạt trên môi trường vận hành</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đạt yêu cầu phi chức năng của HSMT, phải tối ưu lại truy vấn và bộ nhớ đệm</w:t>
            </w:r>
          </w:p>
        </w:tc>
        <w:tc>
          <w:tcPr>
            <w:tcW w:type="dxa" w:w="3100"/>
          </w:tcPr>
          <w:p>
            <w:pPr>
              <w:spacing w:before="0" w:after="40"/>
              <w:jc w:val="left"/>
            </w:pPr>
            <w:r>
              <w:rPr>
                <w:rFonts w:ascii="Times New Roman" w:hAnsi="Times New Roman" w:eastAsia="Times New Roman" w:cs="Times New Roman"/>
                <w:b w:val="0"/>
                <w:i w:val="0"/>
                <w:caps w:val="0"/>
                <w:color w:val="000000"/>
                <w:sz w:val="24"/>
              </w:rPr>
              <w:t>Có chỉ mục tìm kiếm riêng và bộ nhớ đệm từ thiết kế (1.2.7, 1.3.8) nhưng chưa có dữ liệu sản phẩm thật trước 10/06/2027 (CK3)</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4 ngày (mức 3), chi phí bằng 0,86%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Lịch xếp thiết lập môi trường vận hành (4.5.1) từ 20/05/2027 theo đề nghị của nhà thầu về thời điểm bàn giao hạ tầng vận hành (CK7), trong khi HSMT quy định Chủ đầu tư bàn giao chậm nhất 10/06/2027, việc mua sắm phía Chủ đầu tư chưa có lịch cụ thể</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môi trường vận hành, kiểm thử hiệu năng và diễn tập chuyển đổi dự phòng</w:t>
            </w:r>
          </w:p>
        </w:tc>
        <w:tc>
          <w:tcPr>
            <w:tcW w:type="dxa" w:w="3100"/>
          </w:tcPr>
          <w:p>
            <w:pPr>
              <w:spacing w:before="0" w:after="40"/>
              <w:jc w:val="left"/>
            </w:pPr>
            <w:r>
              <w:rPr>
                <w:rFonts w:ascii="Times New Roman" w:hAnsi="Times New Roman" w:eastAsia="Times New Roman" w:cs="Times New Roman"/>
                <w:b w:val="0"/>
                <w:i w:val="0"/>
                <w:caps w:val="0"/>
                <w:color w:val="000000"/>
                <w:sz w:val="24"/>
              </w:rPr>
              <w:t>Hạn 20/05/2027 là đề nghị của nhà thầu, sớm hơn thời hạn chậm nhất của HSMT khoảng ba tuần, Chủ đầu tư chưa xác nhận lịch mua sắm hạ tầng</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3 theo chậm 4 ngày (mức 3), chi phí bằng 0,8%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Công việc quản lý dàn trải chiếm một nửa thời gian của trưởng nhóm trong suốt dự án, phần còn lại gồm kế hoạch, rà soát mã nguồn và tài liệu</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kế hoạch quản lý dự án và các quyết định kỹ thuật, chậm mốc M1</w:t>
            </w:r>
          </w:p>
        </w:tc>
        <w:tc>
          <w:tcPr>
            <w:tcW w:type="dxa" w:w="3100"/>
          </w:tcPr>
          <w:p>
            <w:pPr>
              <w:spacing w:before="0" w:after="40"/>
              <w:jc w:val="left"/>
            </w:pPr>
            <w:r>
              <w:rPr>
                <w:rFonts w:ascii="Times New Roman" w:hAnsi="Times New Roman" w:eastAsia="Times New Roman" w:cs="Times New Roman"/>
                <w:b w:val="0"/>
                <w:i w:val="0"/>
                <w:caps w:val="0"/>
                <w:color w:val="000000"/>
                <w:sz w:val="24"/>
              </w:rPr>
              <w:t>Tải giao cho trưởng nhóm gần đủ quỹ thời gian, một nửa mỗi ngày dành cho công việc quản lý dàn trải, các gói kế hoạch nằm trong S1 cùng lúc với khảo sát</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0,56%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Môi trường vận hành hai nút, cơ sở dữ liệu chính và dự phòng thiết lập lần đầu, phương án chuyển đổi dự phòng chưa được diễn tập</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đạt chỉ tiêu sẵn sàng KT01, ảnh hưởng nghiệm thu và uy tín kênh bán hàng</w:t>
            </w:r>
          </w:p>
        </w:tc>
        <w:tc>
          <w:tcPr>
            <w:tcW w:type="dxa" w:w="3100"/>
          </w:tcPr>
          <w:p>
            <w:pPr>
              <w:spacing w:before="0" w:after="40"/>
              <w:jc w:val="left"/>
            </w:pPr>
            <w:r>
              <w:rPr>
                <w:rFonts w:ascii="Times New Roman" w:hAnsi="Times New Roman" w:eastAsia="Times New Roman" w:cs="Times New Roman"/>
                <w:b w:val="0"/>
                <w:i w:val="0"/>
                <w:caps w:val="0"/>
                <w:color w:val="000000"/>
                <w:sz w:val="24"/>
              </w:rPr>
              <w:t>Kiến trúc có hai nút và cơ sở dữ liệu dự phòng (4.2.2, 4.5.1), có gói diễn tập chuyển đổi dự phòng trước kiểm thử chấp nhận (4.4.8)</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0,8% giá chào (mức 1). Chấm mức 4, lý do: Vi phạm chỉ tiêu kỹ thuật KT01 của HSDT là tác động định tính đến nghiệm thu, không đo hết bằng ngày và tiền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RFP và HSMT không nêu phương thức thanh toán đơn hàng, WBS ghi thanh toán trực tuyến là giả định ngoài phạm vi</w:t>
            </w:r>
          </w:p>
        </w:tc>
        <w:tc>
          <w:tcPr>
            <w:tcW w:type="dxa" w:w="3000"/>
          </w:tcPr>
          <w:p>
            <w:pPr>
              <w:spacing w:before="0" w:after="40"/>
              <w:jc w:val="left"/>
            </w:pPr>
            <w:r>
              <w:rPr>
                <w:rFonts w:ascii="Times New Roman" w:hAnsi="Times New Roman" w:eastAsia="Times New Roman" w:cs="Times New Roman"/>
                <w:b w:val="0"/>
                <w:i w:val="0"/>
                <w:caps w:val="0"/>
                <w:color w:val="000000"/>
                <w:sz w:val="24"/>
              </w:rPr>
              <w:t>Phát sinh khối lượng tích hợp cổng thanh toán, ảnh hưởng phân hệ đặt hàng và mốc M3</w:t>
            </w:r>
          </w:p>
        </w:tc>
        <w:tc>
          <w:tcPr>
            <w:tcW w:type="dxa" w:w="3100"/>
          </w:tcPr>
          <w:p>
            <w:pPr>
              <w:spacing w:before="0" w:after="40"/>
              <w:jc w:val="left"/>
            </w:pPr>
            <w:r>
              <w:rPr>
                <w:rFonts w:ascii="Times New Roman" w:hAnsi="Times New Roman" w:eastAsia="Times New Roman" w:cs="Times New Roman"/>
                <w:b w:val="0"/>
                <w:i w:val="0"/>
                <w:caps w:val="0"/>
                <w:color w:val="000000"/>
                <w:sz w:val="24"/>
              </w:rPr>
              <w:t>Phương thức thanh toán được làm rõ ngay tại họp khởi động và ghi trong đặc tả đặt hàng, sau khi xác nhận mọi bổ sung đi qua quy trình yêu cầu thay đổi</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5 ngày (mức 3), chi phí bằng 1,29% giá chào (mức 2), làm chậm mốc gắn đợt thanh toán M3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Hệ thống dùng nhiều thư viện mã nguồn mở, quyền sở hữu và bản quyền sản phẩm thuộc Chủ đầu tư (R40)</w:t>
            </w:r>
          </w:p>
        </w:tc>
        <w:tc>
          <w:tcPr>
            <w:tcW w:type="dxa" w:w="3000"/>
          </w:tcPr>
          <w:p>
            <w:pPr>
              <w:spacing w:before="0" w:after="40"/>
              <w:jc w:val="left"/>
            </w:pPr>
            <w:r>
              <w:rPr>
                <w:rFonts w:ascii="Times New Roman" w:hAnsi="Times New Roman" w:eastAsia="Times New Roman" w:cs="Times New Roman"/>
                <w:b w:val="0"/>
                <w:i w:val="0"/>
                <w:caps w:val="0"/>
                <w:color w:val="000000"/>
                <w:sz w:val="24"/>
              </w:rPr>
              <w:t>Phải thay thư viện, ảnh hưởng nghiệm thu và nghĩa vụ hợp đồng</w:t>
            </w:r>
          </w:p>
        </w:tc>
        <w:tc>
          <w:tcPr>
            <w:tcW w:type="dxa" w:w="3100"/>
          </w:tcPr>
          <w:p>
            <w:pPr>
              <w:spacing w:before="0" w:after="40"/>
              <w:jc w:val="left"/>
            </w:pPr>
            <w:r>
              <w:rPr>
                <w:rFonts w:ascii="Times New Roman" w:hAnsi="Times New Roman" w:eastAsia="Times New Roman" w:cs="Times New Roman"/>
                <w:b w:val="0"/>
                <w:i w:val="0"/>
                <w:caps w:val="0"/>
                <w:color w:val="000000"/>
                <w:sz w:val="24"/>
              </w:rPr>
              <w:t>Nhóm chọn thư viện theo danh mục từ kiến trúc, có gói rà soát giấy phép (4.5.5)</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4 theo chậm 1 ngày (mức 2), chi phí bằng 0,32% giá chào (mức 1), làm chậm mốc gắn đợt thanh toán M7 (mức 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Quy trình vận hành mới thay đổi cách tiếp nhận và xử lý đơn hàng trực tuyến, hướng dẫn vận hành diễn ra sát kiểm thử chấp nhận</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chấp nhận và vận hành kéo dài, phát sinh yêu cầu hỗ trợ sau cut over</w:t>
            </w:r>
          </w:p>
        </w:tc>
        <w:tc>
          <w:tcPr>
            <w:tcW w:type="dxa" w:w="3100"/>
          </w:tcPr>
          <w:p>
            <w:pPr>
              <w:spacing w:before="0" w:after="40"/>
              <w:jc w:val="left"/>
            </w:pPr>
            <w:r>
              <w:rPr>
                <w:rFonts w:ascii="Times New Roman" w:hAnsi="Times New Roman" w:eastAsia="Times New Roman" w:cs="Times New Roman"/>
                <w:b w:val="0"/>
                <w:i w:val="0"/>
                <w:caps w:val="0"/>
                <w:color w:val="000000"/>
                <w:sz w:val="24"/>
              </w:rPr>
              <w:t>Người dùng nghiệp vụ tham gia kiểm thử chấp nhận theo cam kết CK6 nhưng chưa quen hệ thống mới, chỉ có ba buổi hướng dẫn (3.5.1)</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2 ngày (mức 2), chi phí bằng 0,44%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Dữ liệu sản phẩm, giá, tồn kho được quản trị trong Main System, nhà thầu đề nghị Chủ đầu tư cung cấp theo định dạng thống nhất chậm nhất 9 giờ 00 ngày 10/06/2027 (CK3, HSMT không quy định thời hạn), chất lượng dữ liệu chưa được kiểm tra</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chuyển đổi thử và diễn tập triển khai, rút ngắn thời gian chuẩn bị cut over</w:t>
            </w:r>
          </w:p>
        </w:tc>
        <w:tc>
          <w:tcPr>
            <w:tcW w:type="dxa" w:w="3100"/>
          </w:tcPr>
          <w:p>
            <w:pPr>
              <w:spacing w:before="0" w:after="40"/>
              <w:jc w:val="left"/>
            </w:pPr>
            <w:r>
              <w:rPr>
                <w:rFonts w:ascii="Times New Roman" w:hAnsi="Times New Roman" w:eastAsia="Times New Roman" w:cs="Times New Roman"/>
                <w:b w:val="0"/>
                <w:i w:val="0"/>
                <w:caps w:val="0"/>
                <w:color w:val="000000"/>
                <w:sz w:val="24"/>
              </w:rPr>
              <w:t>Định dạng chuyển đổi mới thống nhất trong đặc tả giao diện, dữ liệu do Chủ đầu tư tự trích xuất lần đầu</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0,43%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900"/>
          </w:tcPr>
          <w:p>
            <w:pPr>
              <w:spacing w:before="0" w:after="40"/>
              <w:jc w:val="left"/>
            </w:pPr>
            <w:r>
              <w:rPr>
                <w:rFonts w:ascii="Times New Roman" w:hAnsi="Times New Roman" w:eastAsia="Times New Roman" w:cs="Times New Roman"/>
                <w:b w:val="0"/>
                <w:i w:val="0"/>
                <w:caps w:val="0"/>
                <w:color w:val="000000"/>
                <w:sz w:val="24"/>
              </w:rPr>
              <w:t>Cơ hội</w:t>
            </w:r>
          </w:p>
        </w:tc>
        <w:tc>
          <w:tcPr>
            <w:tcW w:type="dxa" w:w="3300"/>
          </w:tcPr>
          <w:p>
            <w:pPr>
              <w:spacing w:before="0" w:after="40"/>
              <w:jc w:val="left"/>
            </w:pPr>
            <w:r>
              <w:rPr>
                <w:rFonts w:ascii="Times New Roman" w:hAnsi="Times New Roman" w:eastAsia="Times New Roman" w:cs="Times New Roman"/>
                <w:b w:val="0"/>
                <w:i w:val="0"/>
                <w:caps w:val="0"/>
                <w:color w:val="000000"/>
                <w:sz w:val="24"/>
              </w:rPr>
              <w:t>Nhà thầu đã xây dựng website bán hàng có ba phân hệ tương tự cho Công ty CP Thời trang Hoàng Gia và Công ty TNHH Nội thất An Phát</w:t>
            </w:r>
          </w:p>
        </w:tc>
        <w:tc>
          <w:tcPr>
            <w:tcW w:type="dxa" w:w="3000"/>
          </w:tcPr>
          <w:p>
            <w:pPr>
              <w:spacing w:before="0" w:after="40"/>
              <w:jc w:val="left"/>
            </w:pPr>
            <w:r>
              <w:rPr>
                <w:rFonts w:ascii="Times New Roman" w:hAnsi="Times New Roman" w:eastAsia="Times New Roman" w:cs="Times New Roman"/>
                <w:b w:val="0"/>
                <w:i w:val="0"/>
                <w:caps w:val="0"/>
                <w:color w:val="000000"/>
                <w:sz w:val="24"/>
              </w:rPr>
              <w:t>Rút ngắn khung ứng dụng, thư viện thành phần giao diện, giải phóng thời gian cho lập trình phân hệ</w:t>
            </w:r>
          </w:p>
        </w:tc>
        <w:tc>
          <w:tcPr>
            <w:tcW w:type="dxa" w:w="3100"/>
          </w:tcPr>
          <w:p>
            <w:pPr>
              <w:spacing w:before="0" w:after="40"/>
              <w:jc w:val="left"/>
            </w:pPr>
            <w:r>
              <w:rPr>
                <w:rFonts w:ascii="Times New Roman" w:hAnsi="Times New Roman" w:eastAsia="Times New Roman" w:cs="Times New Roman"/>
                <w:b w:val="0"/>
                <w:i w:val="0"/>
                <w:caps w:val="0"/>
                <w:color w:val="000000"/>
                <w:sz w:val="24"/>
              </w:rPr>
              <w:t>Thành viên nhóm trực tiếp làm hai dự án tương tự, cần xác nhận quyền sử dụng lại thành phần không thuộc sở hữu của chủ đầu tư trước</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sớm 3 ngày (mức 2), lợi ích bằng 0,86%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Một số lỗi nhỏ có thể được chuyển sang khắc phục trong thời hạn bảo hành, chi phí bảo hành gộp trong khoản B</w:t>
            </w:r>
          </w:p>
        </w:tc>
        <w:tc>
          <w:tcPr>
            <w:tcW w:type="dxa" w:w="3000"/>
          </w:tcPr>
          <w:p>
            <w:pPr>
              <w:spacing w:before="0" w:after="40"/>
              <w:jc w:val="left"/>
            </w:pPr>
            <w:r>
              <w:rPr>
                <w:rFonts w:ascii="Times New Roman" w:hAnsi="Times New Roman" w:eastAsia="Times New Roman" w:cs="Times New Roman"/>
                <w:b w:val="0"/>
                <w:i w:val="0"/>
                <w:caps w:val="0"/>
                <w:color w:val="000000"/>
                <w:sz w:val="24"/>
              </w:rPr>
              <w:t>Tăng chi phí sau dự án, ảnh hưởng thu hồi bảo lãnh bảo hành</w:t>
            </w:r>
          </w:p>
        </w:tc>
        <w:tc>
          <w:tcPr>
            <w:tcW w:type="dxa" w:w="3100"/>
          </w:tcPr>
          <w:p>
            <w:pPr>
              <w:spacing w:before="0" w:after="40"/>
              <w:jc w:val="left"/>
            </w:pPr>
            <w:r>
              <w:rPr>
                <w:rFonts w:ascii="Times New Roman" w:hAnsi="Times New Roman" w:eastAsia="Times New Roman" w:cs="Times New Roman"/>
                <w:b w:val="0"/>
                <w:i w:val="0"/>
                <w:caps w:val="0"/>
                <w:color w:val="000000"/>
                <w:sz w:val="24"/>
              </w:rPr>
              <w:t>Lỗi tồn tại khi bàn giao phải có Chủ đầu tư đồng ý, kiểm thử hồi quy bản phát hành chạy trong khoảng kiểm thử chấp nhận, nên lỗi lọt sang bảo hành được kiểm soát</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0 ngày (mức 1), chi phí bằng 1,08% giá chào (mức 2)</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Chỉ có Ninh Đức Toàn và hai vị trí bổ sung Bùi Anh Tuấn (từ S1), Trương Quốc Việt (từ S3) có năng lực triển khai và vận hành (DevOps), hai vị trí bổ sung chưa có quyết định điều động (RR04)</w:t>
            </w:r>
          </w:p>
        </w:tc>
        <w:tc>
          <w:tcPr>
            <w:tcW w:type="dxa" w:w="3000"/>
          </w:tcPr>
          <w:p>
            <w:pPr>
              <w:spacing w:before="0" w:after="40"/>
              <w:jc w:val="left"/>
            </w:pPr>
            <w:r>
              <w:rPr>
                <w:rFonts w:ascii="Times New Roman" w:hAnsi="Times New Roman" w:eastAsia="Times New Roman" w:cs="Times New Roman"/>
                <w:b w:val="0"/>
                <w:i w:val="0"/>
                <w:caps w:val="0"/>
                <w:color w:val="000000"/>
                <w:sz w:val="24"/>
              </w:rPr>
              <w:t>Chậm môi trường vận hành và diễn tập triển khai khi một người vắng mặt</w:t>
            </w:r>
          </w:p>
        </w:tc>
        <w:tc>
          <w:tcPr>
            <w:tcW w:type="dxa" w:w="3100"/>
          </w:tcPr>
          <w:p>
            <w:pPr>
              <w:spacing w:before="0" w:after="40"/>
              <w:jc w:val="left"/>
            </w:pPr>
            <w:r>
              <w:rPr>
                <w:rFonts w:ascii="Times New Roman" w:hAnsi="Times New Roman" w:eastAsia="Times New Roman" w:cs="Times New Roman"/>
                <w:b w:val="0"/>
                <w:i w:val="0"/>
                <w:caps w:val="0"/>
                <w:color w:val="000000"/>
                <w:sz w:val="24"/>
              </w:rPr>
              <w:t>Có ba người cùng năng lực từ S3 khi D4 được huy động, nhưng hai người là vị trí bổ sung chưa có quyết định điều động, các gói hạ tầng có tài liệu hướng dẫn</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chậm 3 ngày (mức 2), chi phí bằng 0,8%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900"/>
          </w:tcPr>
          <w:p>
            <w:pPr>
              <w:spacing w:before="0" w:after="40"/>
              <w:jc w:val="left"/>
            </w:pPr>
            <w:r>
              <w:rPr>
                <w:rFonts w:ascii="Times New Roman" w:hAnsi="Times New Roman" w:eastAsia="Times New Roman" w:cs="Times New Roman"/>
                <w:b w:val="0"/>
                <w:i w:val="0"/>
                <w:caps w:val="0"/>
                <w:color w:val="000000"/>
                <w:sz w:val="24"/>
              </w:rPr>
              <w:t>Cơ hội</w:t>
            </w:r>
          </w:p>
        </w:tc>
        <w:tc>
          <w:tcPr>
            <w:tcW w:type="dxa" w:w="3300"/>
          </w:tcPr>
          <w:p>
            <w:pPr>
              <w:spacing w:before="0" w:after="40"/>
              <w:jc w:val="left"/>
            </w:pPr>
            <w:r>
              <w:rPr>
                <w:rFonts w:ascii="Times New Roman" w:hAnsi="Times New Roman" w:eastAsia="Times New Roman" w:cs="Times New Roman"/>
                <w:b w:val="0"/>
                <w:i w:val="0"/>
                <w:caps w:val="0"/>
                <w:color w:val="000000"/>
                <w:sz w:val="24"/>
              </w:rPr>
              <w:t>Môi trường thử của Main System có thể sẵn sàng sớm hơn hạn cam kết CK2 nếu Chủ đầu tư ưu tiên</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bắt đầu sớm, tăng dự trữ của chuỗi kiểm thử hệ thống</w:t>
            </w:r>
          </w:p>
        </w:tc>
        <w:tc>
          <w:tcPr>
            <w:tcW w:type="dxa" w:w="3100"/>
          </w:tcPr>
          <w:p>
            <w:pPr>
              <w:spacing w:before="0" w:after="40"/>
              <w:jc w:val="left"/>
            </w:pPr>
            <w:r>
              <w:rPr>
                <w:rFonts w:ascii="Times New Roman" w:hAnsi="Times New Roman" w:eastAsia="Times New Roman" w:cs="Times New Roman"/>
                <w:b w:val="0"/>
                <w:i w:val="0"/>
                <w:caps w:val="0"/>
                <w:color w:val="000000"/>
                <w:sz w:val="24"/>
              </w:rPr>
              <w:t>Hạn CK2 do Chủ đầu tư đặt, chưa có thông tin về khả năng bàn giao sớm</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2 theo sớm 3 ngày (mức 2), lợi ích bằng 0,31% giá chào (mức 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900"/>
          </w:tcPr>
          <w:p>
            <w:pPr>
              <w:spacing w:before="0" w:after="40"/>
              <w:jc w:val="left"/>
            </w:pPr>
            <w:r>
              <w:rPr>
                <w:rFonts w:ascii="Times New Roman" w:hAnsi="Times New Roman" w:eastAsia="Times New Roman" w:cs="Times New Roman"/>
                <w:b w:val="0"/>
                <w:i w:val="0"/>
                <w:caps w:val="0"/>
                <w:color w:val="000000"/>
                <w:sz w:val="24"/>
              </w:rPr>
              <w:t>Đe dọa</w:t>
            </w:r>
          </w:p>
        </w:tc>
        <w:tc>
          <w:tcPr>
            <w:tcW w:type="dxa" w:w="3300"/>
          </w:tcPr>
          <w:p>
            <w:pPr>
              <w:spacing w:before="0" w:after="40"/>
              <w:jc w:val="left"/>
            </w:pPr>
            <w:r>
              <w:rPr>
                <w:rFonts w:ascii="Times New Roman" w:hAnsi="Times New Roman" w:eastAsia="Times New Roman" w:cs="Times New Roman"/>
                <w:b w:val="0"/>
                <w:i w:val="0"/>
                <w:caps w:val="0"/>
                <w:color w:val="000000"/>
                <w:sz w:val="24"/>
              </w:rPr>
              <w:t>Khoản thu Đợt 3 gắn mốc M3 (không còn dự trữ đến hạn theo phụ lục), Đợt 6 gắn mốc M9 nghiệm thu phần bán hàng trên sàn, Chủ đầu tư thanh toán trong 15 ngày kể từ khi nhận đủ hồ sơ. Đợt 2 đã đến hạn thu sau mốc M2</w:t>
            </w:r>
          </w:p>
        </w:tc>
        <w:tc>
          <w:tcPr>
            <w:tcW w:type="dxa" w:w="3000"/>
          </w:tcPr>
          <w:p>
            <w:pPr>
              <w:spacing w:before="0" w:after="40"/>
              <w:jc w:val="left"/>
            </w:pPr>
            <w:r>
              <w:rPr>
                <w:rFonts w:ascii="Times New Roman" w:hAnsi="Times New Roman" w:eastAsia="Times New Roman" w:cs="Times New Roman"/>
                <w:b w:val="0"/>
                <w:i w:val="0"/>
                <w:caps w:val="0"/>
                <w:color w:val="000000"/>
                <w:sz w:val="24"/>
              </w:rPr>
              <w:t>Phải dùng vốn lưu động để trả lương, phát sinh chi phí vốn (giả định 10% một năm trên giá trị Đợt 3 và Đợt 6 trong một tháng, theo quyết định của nhóm ngày 18/10/2026)</w:t>
            </w:r>
          </w:p>
        </w:tc>
        <w:tc>
          <w:tcPr>
            <w:tcW w:type="dxa" w:w="3100"/>
          </w:tcPr>
          <w:p>
            <w:pPr>
              <w:spacing w:before="0" w:after="40"/>
              <w:jc w:val="left"/>
            </w:pPr>
            <w:r>
              <w:rPr>
                <w:rFonts w:ascii="Times New Roman" w:hAnsi="Times New Roman" w:eastAsia="Times New Roman" w:cs="Times New Roman"/>
                <w:b w:val="0"/>
                <w:i w:val="0"/>
                <w:caps w:val="0"/>
                <w:color w:val="000000"/>
                <w:sz w:val="24"/>
              </w:rPr>
              <w:t>M3 cần Chủ đầu tư kiểm tra trong thời gian đã tính trong lịch, M9 nằm trong khoảng kiểm thử chấp nhận cùng Chủ đầu tư, hồ sơ thanh toán chuẩn bị song song với bước kiểm tra</w:t>
            </w:r>
          </w:p>
        </w:tc>
        <w:tc>
          <w:tcPr>
            <w:tcW w:type="dxa" w:w="3100"/>
          </w:tcPr>
          <w:p>
            <w:pPr>
              <w:spacing w:before="0" w:after="40"/>
              <w:jc w:val="left"/>
            </w:pPr>
            <w:r>
              <w:rPr>
                <w:rFonts w:ascii="Times New Roman" w:hAnsi="Times New Roman" w:eastAsia="Times New Roman" w:cs="Times New Roman"/>
                <w:b w:val="0"/>
                <w:i w:val="0"/>
                <w:caps w:val="0"/>
                <w:color w:val="000000"/>
                <w:sz w:val="24"/>
              </w:rPr>
              <w:t>Suy ra mức 1 theo chậm 0 ngày (mức 1), chi phí bằng 0,25% giá chào (mức 1)</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Rủi ro còn lại sau biện pháp ứng phó và điều kiện đóng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600"/>
        <w:gridCol w:w="9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600"/>
          </w:tcPr>
          <w:p>
            <w:pPr>
              <w:spacing w:before="0" w:after="40"/>
              <w:jc w:val="left"/>
            </w:pPr>
            <w:r>
              <w:rPr>
                <w:rFonts w:ascii="Times New Roman" w:hAnsi="Times New Roman" w:eastAsia="Times New Roman" w:cs="Times New Roman"/>
                <w:b w:val="0"/>
                <w:i w:val="0"/>
                <w:caps w:val="0"/>
                <w:color w:val="000000"/>
                <w:sz w:val="24"/>
              </w:rPr>
              <w:t>Rủi ro còn lại (xác suất x tác động)</w:t>
            </w:r>
          </w:p>
        </w:tc>
        <w:tc>
          <w:tcPr>
            <w:tcW w:type="dxa" w:w="9900"/>
          </w:tcPr>
          <w:p>
            <w:pPr>
              <w:spacing w:before="0" w:after="40"/>
              <w:jc w:val="left"/>
            </w:pPr>
            <w:r>
              <w:rPr>
                <w:rFonts w:ascii="Times New Roman" w:hAnsi="Times New Roman" w:eastAsia="Times New Roman" w:cs="Times New Roman"/>
                <w:b w:val="0"/>
                <w:i w:val="0"/>
                <w:caps w:val="0"/>
                <w:color w:val="000000"/>
                <w:sz w:val="24"/>
              </w:rPr>
              <w:t>Điều kiện đóng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Kiểm thử tích hợp (4.4.3) đạt và biên bản xác nhận đặc tả giao diện tích hợp đã ký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600"/>
          </w:tcPr>
          <w:p>
            <w:pPr>
              <w:spacing w:before="0" w:after="40"/>
              <w:jc w:val="left"/>
            </w:pPr>
            <w:r>
              <w:rPr>
                <w:rFonts w:ascii="Times New Roman" w:hAnsi="Times New Roman" w:eastAsia="Times New Roman" w:cs="Times New Roman"/>
                <w:b w:val="0"/>
                <w:i w:val="0"/>
                <w:caps w:val="0"/>
                <w:color w:val="000000"/>
                <w:sz w:val="24"/>
              </w:rPr>
              <w:t>2 x 5 = 10, trung bình,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kiểm thử chấp nhận (M5) không còn lỗi nghiêm trọng hoặc cao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xác nhận đặc tả (M2) được ký và không còn yêu cầu sửa đổi đặc tả đang mở</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Cả bảy vị trí có quyết định điều động và đã có mặt theo sprint huy động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Đã ký hợp đồng lao động với cả bảy vị trí</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Kiểm thử tích hợp với sàn (5.4.2) 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3600"/>
          </w:tcPr>
          <w:p>
            <w:pPr>
              <w:spacing w:before="0" w:after="40"/>
              <w:jc w:val="left"/>
            </w:pPr>
            <w:r>
              <w:rPr>
                <w:rFonts w:ascii="Times New Roman" w:hAnsi="Times New Roman" w:eastAsia="Times New Roman" w:cs="Times New Roman"/>
                <w:b w:val="0"/>
                <w:i w:val="0"/>
                <w:caps w:val="0"/>
                <w:color w:val="000000"/>
                <w:sz w:val="24"/>
              </w:rPr>
              <w:t>1 x 5 = 5, thấp,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bàn giao hệ thống ngày 29/07/2027 được ký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3600"/>
          </w:tcPr>
          <w:p>
            <w:pPr>
              <w:spacing w:before="0" w:after="40"/>
              <w:jc w:val="left"/>
            </w:pPr>
            <w:r>
              <w:rPr>
                <w:rFonts w:ascii="Times New Roman" w:hAnsi="Times New Roman" w:eastAsia="Times New Roman" w:cs="Times New Roman"/>
                <w:b w:val="0"/>
                <w:i w:val="0"/>
                <w:caps w:val="0"/>
                <w:color w:val="000000"/>
                <w:sz w:val="24"/>
              </w:rPr>
              <w:t>1 x 5 = 5, thấp,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Báo cáo rà soát lỗ hổng bản phát hành không còn lỗ hổng mức cao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hoàn thành kiểm thử hệ thống (M4) được lập trước 16/07/2027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Báo cáo hiệu năng bản phát hành (4.4.7) đạt KT02, KT03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bàn giao hạ tầng vận hành được ký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Kế hoạch quản lý dự án được xác nhận (M1) và hai báo cáo cuối sprint liên tiếp đúng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3600"/>
          </w:tcPr>
          <w:p>
            <w:pPr>
              <w:spacing w:before="0" w:after="40"/>
              <w:jc w:val="left"/>
            </w:pPr>
            <w:r>
              <w:rPr>
                <w:rFonts w:ascii="Times New Roman" w:hAnsi="Times New Roman" w:eastAsia="Times New Roman" w:cs="Times New Roman"/>
                <w:b w:val="0"/>
                <w:i w:val="0"/>
                <w:caps w:val="0"/>
                <w:color w:val="000000"/>
                <w:sz w:val="24"/>
              </w:rPr>
              <w:t>1 x 3 = 3,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diễn tập chuyển đổi dự phòng và khôi phục đạt (4.4.8)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3600"/>
          </w:tcPr>
          <w:p>
            <w:pPr>
              <w:spacing w:before="0" w:after="40"/>
              <w:jc w:val="left"/>
            </w:pPr>
            <w:r>
              <w:rPr>
                <w:rFonts w:ascii="Times New Roman" w:hAnsi="Times New Roman" w:eastAsia="Times New Roman" w:cs="Times New Roman"/>
                <w:b w:val="0"/>
                <w:i w:val="0"/>
                <w:caps w:val="0"/>
                <w:color w:val="000000"/>
                <w:sz w:val="24"/>
              </w:rPr>
              <w:t>1 x 4 = 4, thấp,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xác nhận đặc tả (M2) ghi rõ phương thức thanh toán không gồm cổng thanh toán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3600"/>
          </w:tcPr>
          <w:p>
            <w:pPr>
              <w:spacing w:before="0" w:after="40"/>
              <w:jc w:val="left"/>
            </w:pPr>
            <w:r>
              <w:rPr>
                <w:rFonts w:ascii="Times New Roman" w:hAnsi="Times New Roman" w:eastAsia="Times New Roman" w:cs="Times New Roman"/>
                <w:b w:val="0"/>
                <w:i w:val="0"/>
                <w:caps w:val="0"/>
                <w:color w:val="000000"/>
                <w:sz w:val="24"/>
              </w:rPr>
              <w:t>1 x 2 = 2,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Danh mục thư viện kèm giấy phép được bàn giao cùng mã nguồn (1.5.3)</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kiểm thử vận hành (M5) ghi nhận cán bộ Chủ đầu tư tự thực hiện các kịch bản chính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Biên bản chuyển đổi thử (4.5.3) đạt và diễn tập triển khai (3.5.3) 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3600"/>
          </w:tcPr>
          <w:p>
            <w:pPr>
              <w:spacing w:before="0" w:after="40"/>
              <w:jc w:val="left"/>
            </w:pPr>
            <w:r>
              <w:rPr>
                <w:rFonts w:ascii="Times New Roman" w:hAnsi="Times New Roman" w:eastAsia="Times New Roman" w:cs="Times New Roman"/>
                <w:b w:val="0"/>
                <w:i w:val="0"/>
                <w:caps w:val="0"/>
                <w:color w:val="000000"/>
                <w:sz w:val="24"/>
              </w:rPr>
              <w:t>3 x 3 = 9, trung bình, hạng B</w:t>
            </w:r>
          </w:p>
        </w:tc>
        <w:tc>
          <w:tcPr>
            <w:tcW w:type="dxa" w:w="9900"/>
          </w:tcPr>
          <w:p>
            <w:pPr>
              <w:spacing w:before="0" w:after="40"/>
              <w:jc w:val="left"/>
            </w:pPr>
            <w:r>
              <w:rPr>
                <w:rFonts w:ascii="Times New Roman" w:hAnsi="Times New Roman" w:eastAsia="Times New Roman" w:cs="Times New Roman"/>
                <w:b w:val="0"/>
                <w:i w:val="0"/>
                <w:caps w:val="0"/>
                <w:color w:val="000000"/>
                <w:sz w:val="24"/>
              </w:rPr>
              <w:t>Khung ứng dụng (4.3.1) và thư viện giao diện (1.2.4) hoàn thành</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Hết thời hạn bảo hành 12 tháng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3600"/>
          </w:tcPr>
          <w:p>
            <w:pPr>
              <w:spacing w:before="0" w:after="40"/>
              <w:jc w:val="left"/>
            </w:pPr>
            <w:r>
              <w:rPr>
                <w:rFonts w:ascii="Times New Roman" w:hAnsi="Times New Roman" w:eastAsia="Times New Roman" w:cs="Times New Roman"/>
                <w:b w:val="0"/>
                <w:i w:val="0"/>
                <w:caps w:val="0"/>
                <w:color w:val="000000"/>
                <w:sz w:val="24"/>
              </w:rPr>
              <w:t>1 x 2 = 2,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Diễn tập triển khai (3.5.3) hoàn thành với tài liệu hướng dẫn đã cập nhật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600"/>
          </w:tcPr>
          <w:p>
            <w:pPr>
              <w:spacing w:before="0" w:after="40"/>
              <w:jc w:val="left"/>
            </w:pPr>
            <w:r>
              <w:rPr>
                <w:rFonts w:ascii="Times New Roman" w:hAnsi="Times New Roman" w:eastAsia="Times New Roman" w:cs="Times New Roman"/>
                <w:b w:val="0"/>
                <w:i w:val="0"/>
                <w:caps w:val="0"/>
                <w:color w:val="000000"/>
                <w:sz w:val="24"/>
              </w:rPr>
              <w:t>2 x 3 = 6,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Kiểm thử tích hợp (4.4.3) bắt đầu</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3600"/>
          </w:tcPr>
          <w:p>
            <w:pPr>
              <w:spacing w:before="0" w:after="40"/>
              <w:jc w:val="left"/>
            </w:pPr>
            <w:r>
              <w:rPr>
                <w:rFonts w:ascii="Times New Roman" w:hAnsi="Times New Roman" w:eastAsia="Times New Roman" w:cs="Times New Roman"/>
                <w:b w:val="0"/>
                <w:i w:val="0"/>
                <w:caps w:val="0"/>
                <w:color w:val="000000"/>
                <w:sz w:val="24"/>
              </w:rPr>
              <w:t>2 x 2 = 4, thấp, hạng C</w:t>
            </w:r>
          </w:p>
        </w:tc>
        <w:tc>
          <w:tcPr>
            <w:tcW w:type="dxa" w:w="9900"/>
          </w:tcPr>
          <w:p>
            <w:pPr>
              <w:spacing w:before="0" w:after="40"/>
              <w:jc w:val="left"/>
            </w:pPr>
            <w:r>
              <w:rPr>
                <w:rFonts w:ascii="Times New Roman" w:hAnsi="Times New Roman" w:eastAsia="Times New Roman" w:cs="Times New Roman"/>
                <w:b w:val="0"/>
                <w:i w:val="0"/>
                <w:caps w:val="0"/>
                <w:color w:val="000000"/>
                <w:sz w:val="24"/>
              </w:rPr>
              <w:t>Đã nhận khoản thanh toán Đợt 3 và Đợt 6</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Rủi ro đã xảy ra hoặc đã đóng và tác động thực tế:</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300"/>
        <w:gridCol w:w="1300"/>
        <w:gridCol w:w="1200"/>
        <w:gridCol w:w="1700"/>
        <w:gridCol w:w="11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3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300"/>
          </w:tcPr>
          <w:p>
            <w:pPr>
              <w:spacing w:before="0" w:after="40"/>
              <w:jc w:val="center"/>
            </w:pPr>
            <w:r>
              <w:rPr>
                <w:rFonts w:ascii="Times New Roman" w:hAnsi="Times New Roman" w:eastAsia="Times New Roman" w:cs="Times New Roman"/>
                <w:b w:val="0"/>
                <w:i w:val="0"/>
                <w:caps w:val="0"/>
                <w:color w:val="000000"/>
                <w:sz w:val="24"/>
              </w:rPr>
              <w:t>Trạng thái</w:t>
            </w:r>
          </w:p>
        </w:tc>
        <w:tc>
          <w:tcPr>
            <w:tcW w:type="dxa" w:w="1200"/>
          </w:tcPr>
          <w:p>
            <w:pPr>
              <w:spacing w:before="0" w:after="40"/>
              <w:jc w:val="center"/>
            </w:pPr>
            <w:r>
              <w:rPr>
                <w:rFonts w:ascii="Times New Roman" w:hAnsi="Times New Roman" w:eastAsia="Times New Roman" w:cs="Times New Roman"/>
                <w:b w:val="0"/>
                <w:i w:val="0"/>
                <w:caps w:val="0"/>
                <w:color w:val="000000"/>
                <w:sz w:val="24"/>
              </w:rPr>
              <w:t>Ngày xảy ra</w:t>
            </w:r>
          </w:p>
        </w:tc>
        <w:tc>
          <w:tcPr>
            <w:tcW w:type="dxa" w:w="1700"/>
          </w:tcPr>
          <w:p>
            <w:pPr>
              <w:spacing w:before="0" w:after="40"/>
              <w:jc w:val="left"/>
            </w:pPr>
            <w:r>
              <w:rPr>
                <w:rFonts w:ascii="Times New Roman" w:hAnsi="Times New Roman" w:eastAsia="Times New Roman" w:cs="Times New Roman"/>
                <w:b w:val="0"/>
                <w:i w:val="0"/>
                <w:caps w:val="0"/>
                <w:color w:val="000000"/>
                <w:sz w:val="24"/>
              </w:rPr>
              <w:t>Tác động thực tế</w:t>
            </w:r>
          </w:p>
        </w:tc>
        <w:tc>
          <w:tcPr>
            <w:tcW w:type="dxa" w:w="1100"/>
          </w:tcPr>
          <w:p>
            <w:pPr>
              <w:spacing w:before="0" w:after="40"/>
              <w:jc w:val="right"/>
            </w:pPr>
            <w:r>
              <w:rPr>
                <w:rFonts w:ascii="Times New Roman" w:hAnsi="Times New Roman" w:eastAsia="Times New Roman" w:cs="Times New Roman"/>
                <w:b w:val="0"/>
                <w:i w:val="0"/>
                <w:caps w:val="0"/>
                <w:color w:val="000000"/>
                <w:sz w:val="24"/>
              </w:rPr>
              <w:t>EMV đã đánh giá, triệu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3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10,1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3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xảy ra</w:t>
            </w:r>
          </w:p>
        </w:tc>
        <w:tc>
          <w:tcPr>
            <w:tcW w:type="dxa" w:w="1200"/>
          </w:tcPr>
          <w:p>
            <w:pPr>
              <w:spacing w:before="0" w:after="40"/>
              <w:jc w:val="center"/>
            </w:pPr>
            <w:r>
              <w:rPr>
                <w:rFonts w:ascii="Times New Roman" w:hAnsi="Times New Roman" w:eastAsia="Times New Roman" w:cs="Times New Roman"/>
                <w:b w:val="0"/>
                <w:i w:val="0"/>
                <w:caps w:val="0"/>
                <w:color w:val="000000"/>
                <w:sz w:val="24"/>
              </w:rPr>
              <w:t>19/04/2027</w:t>
            </w:r>
          </w:p>
        </w:tc>
        <w:tc>
          <w:tcPr>
            <w:tcW w:type="dxa" w:w="1700"/>
          </w:tcPr>
          <w:p>
            <w:pPr>
              <w:spacing w:before="0" w:after="40"/>
              <w:jc w:val="left"/>
            </w:pPr>
            <w:r>
              <w:rPr>
                <w:rFonts w:ascii="Times New Roman" w:hAnsi="Times New Roman" w:eastAsia="Times New Roman" w:cs="Times New Roman"/>
                <w:b w:val="0"/>
                <w:i w:val="0"/>
                <w:caps w:val="0"/>
                <w:color w:val="000000"/>
                <w:sz w:val="24"/>
              </w:rPr>
              <w:t>1 MD, 2.100.000 đồng</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3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200"/>
          </w:tcPr>
          <w:p>
            <w:pPr>
              <w:spacing w:before="0" w:after="40"/>
              <w:jc w:val="center"/>
            </w:pPr>
            <w:r>
              <w:rPr>
                <w:rFonts w:ascii="Times New Roman" w:hAnsi="Times New Roman" w:eastAsia="Times New Roman" w:cs="Times New Roman"/>
                <w:b w:val="0"/>
                <w:i w:val="0"/>
                <w:caps w:val="0"/>
                <w:color w:val="000000"/>
                <w:sz w:val="24"/>
              </w:rPr>
              <w:t>01/04/2027</w:t>
            </w:r>
          </w:p>
        </w:tc>
        <w:tc>
          <w:tcPr>
            <w:tcW w:type="dxa" w:w="1700"/>
          </w:tcPr>
          <w:p>
            <w:pPr>
              <w:spacing w:before="0" w:after="40"/>
              <w:jc w:val="left"/>
            </w:pPr>
            <w:r>
              <w:rPr>
                <w:rFonts w:ascii="Times New Roman" w:hAnsi="Times New Roman" w:eastAsia="Times New Roman" w:cs="Times New Roman"/>
                <w:b w:val="0"/>
                <w:i w:val="0"/>
                <w:caps w:val="0"/>
                <w:color w:val="000000"/>
                <w:sz w:val="24"/>
              </w:rPr>
              <w:t>0,50 MD, 1.050.000 đồng</w:t>
            </w:r>
          </w:p>
        </w:tc>
        <w:tc>
          <w:tcPr>
            <w:tcW w:type="dxa" w:w="1100"/>
          </w:tcPr>
          <w:p>
            <w:pPr>
              <w:spacing w:before="0" w:after="40"/>
              <w:jc w:val="right"/>
            </w:pPr>
            <w:r>
              <w:rPr>
                <w:rFonts w:ascii="Times New Roman" w:hAnsi="Times New Roman" w:eastAsia="Times New Roman" w:cs="Times New Roman"/>
                <w:b w:val="0"/>
                <w:i w:val="0"/>
                <w:caps w:val="0"/>
                <w:color w:val="000000"/>
                <w:sz w:val="24"/>
              </w:rPr>
              <w:t>12,6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3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300"/>
          </w:tcPr>
          <w:p>
            <w:pPr>
              <w:spacing w:before="0" w:after="40"/>
              <w:jc w:val="center"/>
            </w:pPr>
            <w:r>
              <w:rPr>
                <w:rFonts w:ascii="Times New Roman" w:hAnsi="Times New Roman" w:eastAsia="Times New Roman" w:cs="Times New Roman"/>
                <w:b w:val="0"/>
                <w:i w:val="0"/>
                <w:caps w:val="0"/>
                <w:color w:val="000000"/>
                <w:sz w:val="24"/>
              </w:rPr>
              <w:t>Đã đóng</w:t>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1,2</w:t>
            </w:r>
          </w:p>
        </w:tc>
      </w:tr>
    </w:tbl>
    <w:p>
      <w:pPr>
        <w:spacing w:after="40"/>
      </w:pPr>
    </w:p>
    <w:p>
      <w:pPr>
        <w:sectPr>
          <w:pgSz w:w="16840" w:h="11907" w:orient="landscape"/>
          <w:pgMar w:top="1134" w:right="1134" w:bottom="1134" w:left="1417" w:header="720" w:footer="720" w:gutter="0"/>
          <w:cols w:space="720"/>
          <w:docGrid w:linePitch="360"/>
        </w:sectPr>
      </w:pPr>
    </w:p>
    <w:p>
      <w:pPr>
        <w:pStyle w:val="Heading1"/>
        <w:keepNext/>
        <w:spacing w:before="240" w:after="120"/>
        <w:jc w:val="left"/>
      </w:pPr>
      <w:r>
        <w:rPr>
          <w:rFonts w:ascii="Times New Roman" w:hAnsi="Times New Roman" w:eastAsia="Times New Roman" w:cs="Times New Roman"/>
          <w:b w:val="0"/>
          <w:i w:val="0"/>
          <w:caps w:val="0"/>
          <w:color w:val="000000"/>
          <w:sz w:val="30"/>
        </w:rPr>
        <w:t>5. Ma trận xác suất và tác động</w:t>
      </w:r>
    </w:p>
    <w:p>
      <w:pPr>
        <w:pStyle w:val="Heading2"/>
        <w:keepNext/>
        <w:spacing w:before="200" w:after="80"/>
        <w:jc w:val="left"/>
      </w:pPr>
      <w:r>
        <w:rPr>
          <w:rFonts w:ascii="Times New Roman" w:hAnsi="Times New Roman" w:eastAsia="Times New Roman" w:cs="Times New Roman"/>
          <w:b w:val="0"/>
          <w:i w:val="0"/>
          <w:caps w:val="0"/>
          <w:color w:val="000000"/>
          <w:sz w:val="26"/>
        </w:rPr>
        <w:t>5.1. Ma trận 5x5</w:t>
      </w:r>
    </w:p>
    <w:p>
      <w:pPr>
        <w:spacing w:before="0" w:after="100" w:line="300" w:lineRule="auto"/>
        <w:jc w:val="both"/>
      </w:pPr>
      <w:r>
        <w:rPr>
          <w:rFonts w:ascii="Times New Roman" w:hAnsi="Times New Roman" w:eastAsia="Times New Roman" w:cs="Times New Roman"/>
          <w:b w:val="0"/>
          <w:i w:val="0"/>
          <w:caps w:val="0"/>
          <w:color w:val="000000"/>
          <w:sz w:val="26"/>
        </w:rPr>
        <w:t>Mỗi ô ghi mã các rủi ro đe dọa có cùng mức xác suất và tác động. Cơ hội được trình bày tại mục 4.</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700"/>
        <w:gridCol w:w="1520"/>
        <w:gridCol w:w="1520"/>
        <w:gridCol w:w="1520"/>
        <w:gridCol w:w="1520"/>
        <w:gridCol w:w="1520"/>
      </w:tblGrid>
      <w:tr>
        <w:trPr>
          <w:tblHeader w:val="true"/>
        </w:trPr>
        <w:tc>
          <w:tcPr>
            <w:tcW w:type="dxa" w:w="1700"/>
          </w:tcPr>
          <w:p>
            <w:pPr>
              <w:spacing w:before="0" w:after="40"/>
              <w:jc w:val="center"/>
            </w:pPr>
            <w:r>
              <w:rPr>
                <w:rFonts w:ascii="Times New Roman" w:hAnsi="Times New Roman" w:eastAsia="Times New Roman" w:cs="Times New Roman"/>
                <w:b w:val="0"/>
                <w:i w:val="0"/>
                <w:caps w:val="0"/>
                <w:color w:val="000000"/>
                <w:sz w:val="24"/>
              </w:rPr>
              <w:t>Xác suất, tác động</w:t>
            </w:r>
          </w:p>
        </w:tc>
        <w:tc>
          <w:tcPr>
            <w:tcW w:type="dxa" w:w="1520"/>
          </w:tcPr>
          <w:p>
            <w:pPr>
              <w:spacing w:before="0" w:after="40"/>
              <w:jc w:val="center"/>
            </w:pPr>
            <w:r>
              <w:rPr>
                <w:rFonts w:ascii="Times New Roman" w:hAnsi="Times New Roman" w:eastAsia="Times New Roman" w:cs="Times New Roman"/>
                <w:b w:val="0"/>
                <w:i w:val="0"/>
                <w:caps w:val="0"/>
                <w:color w:val="000000"/>
                <w:sz w:val="24"/>
              </w:rPr>
              <w:t>1</w:t>
            </w:r>
          </w:p>
        </w:tc>
        <w:tc>
          <w:tcPr>
            <w:tcW w:type="dxa" w:w="1520"/>
          </w:tcPr>
          <w:p>
            <w:pPr>
              <w:spacing w:before="0" w:after="40"/>
              <w:jc w:val="center"/>
            </w:pPr>
            <w:r>
              <w:rPr>
                <w:rFonts w:ascii="Times New Roman" w:hAnsi="Times New Roman" w:eastAsia="Times New Roman" w:cs="Times New Roman"/>
                <w:b w:val="0"/>
                <w:i w:val="0"/>
                <w:caps w:val="0"/>
                <w:color w:val="000000"/>
                <w:sz w:val="24"/>
              </w:rPr>
              <w:t>2</w:t>
            </w:r>
          </w:p>
        </w:tc>
        <w:tc>
          <w:tcPr>
            <w:tcW w:type="dxa" w:w="1520"/>
          </w:tcPr>
          <w:p>
            <w:pPr>
              <w:spacing w:before="0" w:after="40"/>
              <w:jc w:val="center"/>
            </w:pPr>
            <w:r>
              <w:rPr>
                <w:rFonts w:ascii="Times New Roman" w:hAnsi="Times New Roman" w:eastAsia="Times New Roman" w:cs="Times New Roman"/>
                <w:b w:val="0"/>
                <w:i w:val="0"/>
                <w:caps w:val="0"/>
                <w:color w:val="000000"/>
                <w:sz w:val="24"/>
              </w:rPr>
              <w:t>3</w:t>
            </w:r>
          </w:p>
        </w:tc>
        <w:tc>
          <w:tcPr>
            <w:tcW w:type="dxa" w:w="1520"/>
          </w:tcPr>
          <w:p>
            <w:pPr>
              <w:spacing w:before="0" w:after="40"/>
              <w:jc w:val="center"/>
            </w:pPr>
            <w:r>
              <w:rPr>
                <w:rFonts w:ascii="Times New Roman" w:hAnsi="Times New Roman" w:eastAsia="Times New Roman" w:cs="Times New Roman"/>
                <w:b w:val="0"/>
                <w:i w:val="0"/>
                <w:caps w:val="0"/>
                <w:color w:val="000000"/>
                <w:sz w:val="24"/>
              </w:rPr>
              <w:t>4</w:t>
            </w:r>
          </w:p>
        </w:tc>
        <w:tc>
          <w:tcPr>
            <w:tcW w:type="dxa" w:w="1520"/>
          </w:tcPr>
          <w:p>
            <w:pPr>
              <w:spacing w:before="0" w:after="40"/>
              <w:jc w:val="center"/>
            </w:pPr>
            <w:r>
              <w:rPr>
                <w:rFonts w:ascii="Times New Roman" w:hAnsi="Times New Roman" w:eastAsia="Times New Roman" w:cs="Times New Roman"/>
                <w:b w:val="0"/>
                <w:i w:val="0"/>
                <w:caps w:val="0"/>
                <w:color w:val="000000"/>
                <w:sz w:val="24"/>
              </w:rPr>
              <w:t>5</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5</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4</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t>RR05</w:t>
            </w:r>
          </w:p>
        </w:tc>
        <w:tc>
          <w:tcPr>
            <w:tcW w:type="dxa" w:w="1520"/>
          </w:tcPr>
          <w:p>
            <w:pPr>
              <w:spacing w:before="0" w:after="40"/>
              <w:jc w:val="center"/>
            </w:pPr>
            <w:r>
              <w:rPr>
                <w:rFonts w:ascii="Times New Roman" w:hAnsi="Times New Roman" w:eastAsia="Times New Roman" w:cs="Times New Roman"/>
                <w:b w:val="0"/>
                <w:i w:val="0"/>
                <w:caps w:val="0"/>
                <w:color w:val="000000"/>
                <w:sz w:val="24"/>
              </w:rPr>
              <w:t>RR13</w:t>
            </w:r>
          </w:p>
        </w:tc>
        <w:tc>
          <w:tcPr>
            <w:tcW w:type="dxa" w:w="1520"/>
          </w:tcPr>
          <w:p>
            <w:pPr>
              <w:spacing w:before="0" w:after="40"/>
              <w:jc w:val="center"/>
            </w:pPr>
            <w:r>
              <w:rPr>
                <w:rFonts w:ascii="Times New Roman" w:hAnsi="Times New Roman" w:eastAsia="Times New Roman" w:cs="Times New Roman"/>
                <w:b w:val="0"/>
                <w:i w:val="0"/>
                <w:caps w:val="0"/>
                <w:color w:val="000000"/>
                <w:sz w:val="24"/>
              </w:rPr>
              <w:t>RR02</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3</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t>RR09, RR14</w:t>
            </w:r>
          </w:p>
        </w:tc>
        <w:tc>
          <w:tcPr>
            <w:tcW w:type="dxa" w:w="1520"/>
          </w:tcPr>
          <w:p>
            <w:pPr>
              <w:spacing w:before="0" w:after="40"/>
              <w:jc w:val="center"/>
            </w:pPr>
            <w:r>
              <w:rPr>
                <w:rFonts w:ascii="Times New Roman" w:hAnsi="Times New Roman" w:eastAsia="Times New Roman" w:cs="Times New Roman"/>
                <w:b w:val="0"/>
                <w:i w:val="0"/>
                <w:caps w:val="0"/>
                <w:color w:val="000000"/>
                <w:sz w:val="24"/>
              </w:rPr>
              <w:t>RR03, RR06, RR16</w:t>
            </w:r>
          </w:p>
        </w:tc>
        <w:tc>
          <w:tcPr>
            <w:tcW w:type="dxa" w:w="1520"/>
          </w:tcPr>
          <w:p>
            <w:pPr>
              <w:spacing w:before="0" w:after="40"/>
              <w:jc w:val="center"/>
            </w:pPr>
            <w:r>
              <w:rPr>
                <w:rFonts w:ascii="Times New Roman" w:hAnsi="Times New Roman" w:eastAsia="Times New Roman" w:cs="Times New Roman"/>
                <w:b w:val="0"/>
                <w:i w:val="0"/>
                <w:caps w:val="0"/>
                <w:color w:val="000000"/>
                <w:sz w:val="24"/>
              </w:rPr>
              <w:t>RR01, RR04, RR22</w:t>
            </w:r>
          </w:p>
        </w:tc>
        <w:tc>
          <w:tcPr>
            <w:tcW w:type="dxa" w:w="1520"/>
          </w:tcPr>
          <w:p>
            <w:pPr>
              <w:spacing w:before="0" w:after="40"/>
              <w:jc w:val="center"/>
            </w:pPr>
            <w:r>
              <w:rPr>
                <w:rFonts w:ascii="Times New Roman" w:hAnsi="Times New Roman" w:eastAsia="Times New Roman" w:cs="Times New Roman"/>
                <w:b w:val="0"/>
                <w:i w:val="0"/>
                <w:caps w:val="0"/>
                <w:color w:val="000000"/>
                <w:sz w:val="24"/>
              </w:rPr>
              <w:t>RR10</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2</w:t>
            </w:r>
          </w:p>
        </w:tc>
        <w:tc>
          <w:tcPr>
            <w:tcW w:type="dxa" w:w="1520"/>
          </w:tcPr>
          <w:p>
            <w:pPr>
              <w:spacing w:before="0" w:after="40"/>
              <w:jc w:val="center"/>
            </w:pPr>
            <w:r>
              <w:rPr>
                <w:rFonts w:ascii="Times New Roman" w:hAnsi="Times New Roman" w:eastAsia="Times New Roman" w:cs="Times New Roman"/>
                <w:b w:val="0"/>
                <w:i w:val="0"/>
                <w:caps w:val="0"/>
                <w:color w:val="000000"/>
                <w:sz w:val="24"/>
              </w:rPr>
              <w:t>RR19</w:t>
            </w:r>
          </w:p>
        </w:tc>
        <w:tc>
          <w:tcPr>
            <w:tcW w:type="dxa" w:w="1520"/>
          </w:tcPr>
          <w:p>
            <w:pPr>
              <w:spacing w:before="0" w:after="40"/>
              <w:jc w:val="center"/>
            </w:pPr>
            <w:r>
              <w:rPr>
                <w:rFonts w:ascii="Times New Roman" w:hAnsi="Times New Roman" w:eastAsia="Times New Roman" w:cs="Times New Roman"/>
                <w:b w:val="0"/>
                <w:i w:val="0"/>
                <w:caps w:val="0"/>
                <w:color w:val="000000"/>
                <w:sz w:val="24"/>
              </w:rPr>
              <w:t>RR17, RR18</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t>RR07, RR11, RR12</w:t>
            </w:r>
          </w:p>
        </w:tc>
        <w:tc>
          <w:tcPr>
            <w:tcW w:type="dxa" w:w="1520"/>
          </w:tcPr>
          <w:p>
            <w:pPr>
              <w:spacing w:before="0" w:after="40"/>
              <w:jc w:val="center"/>
            </w:pPr>
            <w:r>
              <w:rPr>
                <w:rFonts w:ascii="Times New Roman" w:hAnsi="Times New Roman" w:eastAsia="Times New Roman" w:cs="Times New Roman"/>
                <w:b w:val="0"/>
                <w:i w:val="0"/>
                <w:caps w:val="0"/>
                <w:color w:val="000000"/>
                <w:sz w:val="24"/>
              </w:rPr>
              <w:t>RR08, RR15</w:t>
            </w:r>
          </w:p>
        </w:tc>
      </w:tr>
      <w:tr>
        <w:tc>
          <w:tcPr>
            <w:tcW w:type="dxa" w:w="1700"/>
          </w:tcPr>
          <w:p>
            <w:pPr>
              <w:spacing w:before="0" w:after="40"/>
              <w:jc w:val="center"/>
            </w:pPr>
            <w:r>
              <w:rPr>
                <w:rFonts w:ascii="Times New Roman" w:hAnsi="Times New Roman" w:eastAsia="Times New Roman" w:cs="Times New Roman"/>
                <w:b w:val="0"/>
                <w:i w:val="0"/>
                <w:caps w:val="0"/>
                <w:color w:val="000000"/>
                <w:sz w:val="24"/>
              </w:rPr>
              <w:t>1</w:t>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c>
          <w:tcPr>
            <w:tcW w:type="dxa" w:w="152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5.2. Ma trận 3x3 và hạng A, B, 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800"/>
        <w:gridCol w:w="2500"/>
        <w:gridCol w:w="2500"/>
        <w:gridCol w:w="2500"/>
      </w:tblGrid>
      <w:tr>
        <w:trPr>
          <w:tblHeader w:val="true"/>
        </w:trPr>
        <w:tc>
          <w:tcPr>
            <w:tcW w:type="dxa" w:w="1800"/>
          </w:tcPr>
          <w:p>
            <w:pPr>
              <w:spacing w:before="0" w:after="40"/>
              <w:jc w:val="center"/>
            </w:pPr>
            <w:r>
              <w:rPr>
                <w:rFonts w:ascii="Times New Roman" w:hAnsi="Times New Roman" w:eastAsia="Times New Roman" w:cs="Times New Roman"/>
                <w:b w:val="0"/>
                <w:i w:val="0"/>
                <w:caps w:val="0"/>
                <w:color w:val="000000"/>
                <w:sz w:val="24"/>
              </w:rPr>
              <w:t>Xác suất, tác động</w:t>
            </w:r>
          </w:p>
        </w:tc>
        <w:tc>
          <w:tcPr>
            <w:tcW w:type="dxa" w:w="2500"/>
          </w:tcPr>
          <w:p>
            <w:pPr>
              <w:spacing w:before="0" w:after="40"/>
              <w:jc w:val="left"/>
            </w:pPr>
            <w:r>
              <w:rPr>
                <w:rFonts w:ascii="Times New Roman" w:hAnsi="Times New Roman" w:eastAsia="Times New Roman" w:cs="Times New Roman"/>
                <w:b w:val="0"/>
                <w:i w:val="0"/>
                <w:caps w:val="0"/>
                <w:color w:val="000000"/>
                <w:sz w:val="24"/>
              </w:rPr>
              <w:t>Lớn</w:t>
            </w:r>
          </w:p>
        </w:tc>
        <w:tc>
          <w:tcPr>
            <w:tcW w:type="dxa" w:w="2500"/>
          </w:tcPr>
          <w:p>
            <w:pPr>
              <w:spacing w:before="0" w:after="40"/>
              <w:jc w:val="left"/>
            </w:pPr>
            <w:r>
              <w:rPr>
                <w:rFonts w:ascii="Times New Roman" w:hAnsi="Times New Roman" w:eastAsia="Times New Roman" w:cs="Times New Roman"/>
                <w:b w:val="0"/>
                <w:i w:val="0"/>
                <w:caps w:val="0"/>
                <w:color w:val="000000"/>
                <w:sz w:val="24"/>
              </w:rPr>
              <w:t>Trung bình</w:t>
            </w:r>
          </w:p>
        </w:tc>
        <w:tc>
          <w:tcPr>
            <w:tcW w:type="dxa" w:w="2500"/>
          </w:tcPr>
          <w:p>
            <w:pPr>
              <w:spacing w:before="0" w:after="40"/>
              <w:jc w:val="left"/>
            </w:pPr>
            <w:r>
              <w:rPr>
                <w:rFonts w:ascii="Times New Roman" w:hAnsi="Times New Roman" w:eastAsia="Times New Roman" w:cs="Times New Roman"/>
                <w:b w:val="0"/>
                <w:i w:val="0"/>
                <w:caps w:val="0"/>
                <w:color w:val="000000"/>
                <w:sz w:val="24"/>
              </w:rPr>
              <w:t>Nhỏ</w:t>
            </w:r>
          </w:p>
        </w:tc>
      </w:tr>
      <w:tr>
        <w:tc>
          <w:tcPr>
            <w:tcW w:type="dxa" w:w="1800"/>
          </w:tcPr>
          <w:p>
            <w:pPr>
              <w:spacing w:before="0" w:after="40"/>
              <w:jc w:val="center"/>
            </w:pPr>
            <w:r>
              <w:rPr>
                <w:rFonts w:ascii="Times New Roman" w:hAnsi="Times New Roman" w:eastAsia="Times New Roman" w:cs="Times New Roman"/>
                <w:b w:val="0"/>
                <w:i w:val="0"/>
                <w:caps w:val="0"/>
                <w:color w:val="000000"/>
                <w:sz w:val="24"/>
              </w:rPr>
              <w:t>Cao</w:t>
            </w:r>
          </w:p>
        </w:tc>
        <w:tc>
          <w:tcPr>
            <w:tcW w:type="dxa" w:w="2500"/>
          </w:tcPr>
          <w:p>
            <w:pPr>
              <w:spacing w:before="0" w:after="40"/>
              <w:jc w:val="left"/>
            </w:pPr>
            <w:r>
              <w:rPr>
                <w:rFonts w:ascii="Times New Roman" w:hAnsi="Times New Roman" w:eastAsia="Times New Roman" w:cs="Times New Roman"/>
                <w:b w:val="0"/>
                <w:i w:val="0"/>
                <w:caps w:val="0"/>
                <w:color w:val="000000"/>
                <w:sz w:val="24"/>
              </w:rPr>
              <w:t>A: RR02</w:t>
            </w:r>
          </w:p>
        </w:tc>
        <w:tc>
          <w:tcPr>
            <w:tcW w:type="dxa" w:w="2500"/>
          </w:tcPr>
          <w:p>
            <w:pPr>
              <w:spacing w:before="0" w:after="40"/>
              <w:jc w:val="left"/>
            </w:pPr>
            <w:r>
              <w:rPr>
                <w:rFonts w:ascii="Times New Roman" w:hAnsi="Times New Roman" w:eastAsia="Times New Roman" w:cs="Times New Roman"/>
                <w:b w:val="0"/>
                <w:i w:val="0"/>
                <w:caps w:val="0"/>
                <w:color w:val="000000"/>
                <w:sz w:val="24"/>
              </w:rPr>
              <w:t>A: RR13</w:t>
            </w:r>
          </w:p>
        </w:tc>
        <w:tc>
          <w:tcPr>
            <w:tcW w:type="dxa" w:w="2500"/>
          </w:tcPr>
          <w:p>
            <w:pPr>
              <w:spacing w:before="0" w:after="40"/>
              <w:jc w:val="left"/>
            </w:pPr>
            <w:r>
              <w:rPr>
                <w:rFonts w:ascii="Times New Roman" w:hAnsi="Times New Roman" w:eastAsia="Times New Roman" w:cs="Times New Roman"/>
                <w:b w:val="0"/>
                <w:i w:val="0"/>
                <w:caps w:val="0"/>
                <w:color w:val="000000"/>
                <w:sz w:val="24"/>
              </w:rPr>
              <w:t>B: RR05</w:t>
            </w:r>
          </w:p>
        </w:tc>
      </w:tr>
      <w:tr>
        <w:tc>
          <w:tcPr>
            <w:tcW w:type="dxa" w:w="18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2500"/>
          </w:tcPr>
          <w:p>
            <w:pPr>
              <w:spacing w:before="0" w:after="40"/>
              <w:jc w:val="left"/>
            </w:pPr>
            <w:r>
              <w:rPr>
                <w:rFonts w:ascii="Times New Roman" w:hAnsi="Times New Roman" w:eastAsia="Times New Roman" w:cs="Times New Roman"/>
                <w:b w:val="0"/>
                <w:i w:val="0"/>
                <w:caps w:val="0"/>
                <w:color w:val="000000"/>
                <w:sz w:val="24"/>
              </w:rPr>
              <w:t>A: RR01, RR04, RR10, RR22</w:t>
            </w:r>
          </w:p>
        </w:tc>
        <w:tc>
          <w:tcPr>
            <w:tcW w:type="dxa" w:w="2500"/>
          </w:tcPr>
          <w:p>
            <w:pPr>
              <w:spacing w:before="0" w:after="40"/>
              <w:jc w:val="left"/>
            </w:pPr>
            <w:r>
              <w:rPr>
                <w:rFonts w:ascii="Times New Roman" w:hAnsi="Times New Roman" w:eastAsia="Times New Roman" w:cs="Times New Roman"/>
                <w:b w:val="0"/>
                <w:i w:val="0"/>
                <w:caps w:val="0"/>
                <w:color w:val="000000"/>
                <w:sz w:val="24"/>
              </w:rPr>
              <w:t>B: RR03, RR06, RR16</w:t>
            </w:r>
          </w:p>
        </w:tc>
        <w:tc>
          <w:tcPr>
            <w:tcW w:type="dxa" w:w="2500"/>
          </w:tcPr>
          <w:p>
            <w:pPr>
              <w:spacing w:before="0" w:after="40"/>
              <w:jc w:val="left"/>
            </w:pPr>
            <w:r>
              <w:rPr>
                <w:rFonts w:ascii="Times New Roman" w:hAnsi="Times New Roman" w:eastAsia="Times New Roman" w:cs="Times New Roman"/>
                <w:b w:val="0"/>
                <w:i w:val="0"/>
                <w:caps w:val="0"/>
                <w:color w:val="000000"/>
                <w:sz w:val="24"/>
              </w:rPr>
              <w:t>C: RR09, RR14</w:t>
            </w:r>
          </w:p>
        </w:tc>
      </w:tr>
      <w:tr>
        <w:tc>
          <w:tcPr>
            <w:tcW w:type="dxa" w:w="1800"/>
          </w:tcPr>
          <w:p>
            <w:pPr>
              <w:spacing w:before="0" w:after="40"/>
              <w:jc w:val="center"/>
            </w:pPr>
            <w:r>
              <w:rPr>
                <w:rFonts w:ascii="Times New Roman" w:hAnsi="Times New Roman" w:eastAsia="Times New Roman" w:cs="Times New Roman"/>
                <w:b w:val="0"/>
                <w:i w:val="0"/>
                <w:caps w:val="0"/>
                <w:color w:val="000000"/>
                <w:sz w:val="24"/>
              </w:rPr>
              <w:t>Thấp</w:t>
            </w:r>
          </w:p>
        </w:tc>
        <w:tc>
          <w:tcPr>
            <w:tcW w:type="dxa" w:w="2500"/>
          </w:tcPr>
          <w:p>
            <w:pPr>
              <w:spacing w:before="0" w:after="40"/>
              <w:jc w:val="left"/>
            </w:pPr>
            <w:r>
              <w:rPr>
                <w:rFonts w:ascii="Times New Roman" w:hAnsi="Times New Roman" w:eastAsia="Times New Roman" w:cs="Times New Roman"/>
                <w:b w:val="0"/>
                <w:i w:val="0"/>
                <w:caps w:val="0"/>
                <w:color w:val="000000"/>
                <w:sz w:val="24"/>
              </w:rPr>
              <w:t>B: RR07, RR08, RR11, RR12, RR15</w:t>
            </w:r>
          </w:p>
        </w:tc>
        <w:tc>
          <w:tcPr>
            <w:tcW w:type="dxa" w:w="2500"/>
          </w:tcPr>
          <w:p>
            <w:pPr>
              <w:spacing w:before="0" w:after="40"/>
              <w:jc w:val="left"/>
            </w:pPr>
            <w:r>
              <w:rPr>
                <w:rFonts w:ascii="Times New Roman" w:hAnsi="Times New Roman" w:eastAsia="Times New Roman" w:cs="Times New Roman"/>
                <w:b w:val="0"/>
                <w:i w:val="0"/>
                <w:caps w:val="0"/>
                <w:color w:val="000000"/>
                <w:sz w:val="24"/>
              </w:rPr>
              <w:t>C</w:t>
            </w:r>
          </w:p>
        </w:tc>
        <w:tc>
          <w:tcPr>
            <w:tcW w:type="dxa" w:w="2500"/>
          </w:tcPr>
          <w:p>
            <w:pPr>
              <w:spacing w:before="0" w:after="40"/>
              <w:jc w:val="left"/>
            </w:pPr>
            <w:r>
              <w:rPr>
                <w:rFonts w:ascii="Times New Roman" w:hAnsi="Times New Roman" w:eastAsia="Times New Roman" w:cs="Times New Roman"/>
                <w:b w:val="0"/>
                <w:i w:val="0"/>
                <w:caps w:val="0"/>
                <w:color w:val="000000"/>
                <w:sz w:val="24"/>
              </w:rPr>
              <w:t>C: RR17, RR18, RR19</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Trên ma trận 5x5, các rủi ro tập trung ở vùng xác suất thấp đến cao, không có rủi ro ở mức xác suất rất cao. Có 2 rủi ro mức cao là RR02, RR10. Trên ma trận 3x3 có 6 rủi ro hạng A gồm RR02, RR10, RR01, RR04, RR13, RR22, tập trung vào tích hợp với Main System, kiểm thử hệ thống và kiểm thử chấp nhận trước ngày cut over, nhân sự bổ sung, đặc tả yêu cầu và chi phí nhân sự. Theo lịch lập lại sau yêu cầu thay đổi CR01, dự trữ đến cut over là 7 ngày làm việc, lớn hơn số ngày chậm của RR02 (6 ngày), RR03 (4 ngày), RR04 (5 ngày), nên các rủi ro này không còn làm lùi ngày cut over, mức tác động chấm theo mức suy ra: RR02, RR04 mức 4 do làm chậm mốc M3 gắn đợt thanh toán, RR03 mức 3. Trong thực hiện, RR04 đã xảy ra và đã đóng, RR02 đã xảy ra và tiếp tục theo dõi đến khi kiểm thử tích hợp đạt. Rủi ro RR01, cơ hội RR21 đã đóng khi đạt điều kiện đóng. Sổ bổ sung RR22 (Giao diện lập trình hoặc môi trường thử của sàn thương mại điện tử chưa sẵn sàng, hoặc sàn thay đổi chính sách kết nối trong thời gian thực hiện) gắn mốc M9 của đợt thanh toán riêng của CR01. Phần đánh giá dự trữ thời gian tính cho các rủi ro RR02, RR03, RR04, RR08, RR09, RR10 gắn với đường găng hoặc mốc cut over 29/07/2027. RR17 gắn gói bàn giao mã nguồn (1.5.3) trên đường găng nhưng phát sinh trong thời hạn bảo hành sau cut over, EMV thời gian bằng 0 nên không tính vào dự trữ. RR08 và RR10 nằm sau các gói ghim ngày (kiểm thử chấp nhận đến 27/07/2027, triển khai chính thức trước cut over), khoảng từ cuối kiểm thử chấp nhận đến cut over chỉ còn 1 ngày làm việc nên chậm từ 1 đến 2 ngày cũng làm lùi cut over dù nhỏ hơn dự trữ của chuỗi trước kiểm thử chấp nhận. RR12 gắn mốc M7 (nộp bảo lãnh bảo hành, bàn giao mã nguồn và hệ thống) cùng ngày cut over, nhưng theo quyết định của nhóm ngày 25/10/2026, M7 không được tính là mốc cut over khi tính EMV thời gian vì chậm M7 không làm lùi ngày đưa hệ thống vào vận hành, ảnh hưởng của RR12 được theo dõi theo hạn của đợt thanh toán gắn M7. Các rủi ro hạng A trên đường găng được ưu tiên theo dõi hằng tuần. Sổ có 2 cơ hội, được theo dõi cùng sổ để tận dụng khi điều kiện xuất hiện.</w:t>
      </w:r>
    </w:p>
    <w:p>
      <w:pPr>
        <w:pStyle w:val="Heading1"/>
        <w:keepNext/>
        <w:spacing w:before="240" w:after="120"/>
        <w:jc w:val="left"/>
      </w:pPr>
      <w:r>
        <w:rPr>
          <w:rFonts w:ascii="Times New Roman" w:hAnsi="Times New Roman" w:eastAsia="Times New Roman" w:cs="Times New Roman"/>
          <w:b w:val="0"/>
          <w:i w:val="0"/>
          <w:caps w:val="0"/>
          <w:color w:val="000000"/>
          <w:sz w:val="30"/>
        </w:rPr>
        <w:t>6. Biện pháp ứng phó</w:t>
      </w:r>
    </w:p>
    <w:p>
      <w:pPr>
        <w:pStyle w:val="Heading2"/>
        <w:keepNext/>
        <w:spacing w:before="200" w:after="80"/>
        <w:jc w:val="left"/>
      </w:pPr>
      <w:r>
        <w:rPr>
          <w:rFonts w:ascii="Times New Roman" w:hAnsi="Times New Roman" w:eastAsia="Times New Roman" w:cs="Times New Roman"/>
          <w:b w:val="0"/>
          <w:i w:val="0"/>
          <w:caps w:val="0"/>
          <w:color w:val="000000"/>
          <w:sz w:val="26"/>
        </w:rPr>
        <w:t>6.1. Rủi ro mức cao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3200"/>
        <w:gridCol w:w="25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Biện pháp phòng ngừa</w:t>
            </w:r>
          </w:p>
        </w:tc>
        <w:tc>
          <w:tcPr>
            <w:tcW w:type="dxa" w:w="3200"/>
          </w:tcPr>
          <w:p>
            <w:pPr>
              <w:spacing w:before="0" w:after="40"/>
              <w:jc w:val="left"/>
            </w:pPr>
            <w:r>
              <w:rPr>
                <w:rFonts w:ascii="Times New Roman" w:hAnsi="Times New Roman" w:eastAsia="Times New Roman" w:cs="Times New Roman"/>
                <w:b w:val="0"/>
                <w:i w:val="0"/>
                <w:caps w:val="0"/>
                <w:color w:val="000000"/>
                <w:sz w:val="24"/>
              </w:rPr>
              <w:t>Kế hoạch ứng phó khi xảy ra</w:t>
            </w:r>
          </w:p>
        </w:tc>
        <w:tc>
          <w:tcPr>
            <w:tcW w:type="dxa" w:w="2500"/>
          </w:tcPr>
          <w:p>
            <w:pPr>
              <w:spacing w:before="0" w:after="40"/>
              <w:jc w:val="left"/>
            </w:pPr>
            <w:r>
              <w:rPr>
                <w:rFonts w:ascii="Times New Roman" w:hAnsi="Times New Roman" w:eastAsia="Times New Roman" w:cs="Times New Roman"/>
                <w:b w:val="0"/>
                <w:i w:val="0"/>
                <w:caps w:val="0"/>
                <w:color w:val="000000"/>
                <w:sz w:val="24"/>
              </w:rPr>
              <w:t>Dấu hiệu nhận biết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2900"/>
          </w:tcPr>
          <w:p>
            <w:pPr>
              <w:spacing w:before="0" w:after="40"/>
              <w:jc w:val="left"/>
            </w:pPr>
            <w:r>
              <w:rPr>
                <w:rFonts w:ascii="Times New Roman" w:hAnsi="Times New Roman" w:eastAsia="Times New Roman" w:cs="Times New Roman"/>
                <w:b w:val="0"/>
                <w:i w:val="0"/>
                <w:caps w:val="0"/>
                <w:color w:val="000000"/>
                <w:sz w:val="24"/>
              </w:rPr>
              <w:t>Đề nghị Chủ đầu tư bàn giao tài liệu giao diện và dữ liệu mẫu tại họp khởi động, lập dịch vụ giả lập theo đặc tả giao diện, thống nhất đặc tả giao diện bằng biên bản (4.2.6), lập trình tích hợp song song với bước xác nhận 4.2.6 chỉ trên các trường dữ liệu đã thống nhất từng phần tại họp làm rõ yêu cầu</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danh sách thông tin còn thiếu, Trần Bá Đạt gửi văn bản đề nghị Chủ đầu tư trong 1 ngày làm việc. Nhóm tích hợp tiếp tục lập trình trên dịch vụ giả lập. Sau 5 ngày làm việc chưa có phản hồi, trưởng nhóm báo cáo người đại diện của Chủ đầu tư và đề nghị điều chỉnh tiến độ theo Mục 18 E-ĐKC do nguyên nhân thuộc Chủ đầu tư</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9 giờ 00 ngày 14/04/2027 chưa nhận tài liệu đặc tả giao diện của Main System, hoặc đến 9 giờ 00 ngày 20/05/2027 chưa có môi trường thử hoặc chưa hoàn thành thay đổi phía Main System (CK8), hoặc đặc tả giao diện thay đổi sau khi đã xác nhận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2900"/>
          </w:tcPr>
          <w:p>
            <w:pPr>
              <w:spacing w:before="0" w:after="40"/>
              <w:jc w:val="left"/>
            </w:pPr>
            <w:r>
              <w:rPr>
                <w:rFonts w:ascii="Times New Roman" w:hAnsi="Times New Roman" w:eastAsia="Times New Roman" w:cs="Times New Roman"/>
                <w:b w:val="0"/>
                <w:i w:val="0"/>
                <w:caps w:val="0"/>
                <w:color w:val="000000"/>
                <w:sz w:val="24"/>
              </w:rPr>
              <w:t>Khắc phục lỗi ngay trong từng đợt kiểm thử phân hệ và kiểm thử hệ thống, phân loại mức nghiêm trọng thống nhất với Chủ đầu tư từ đầu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phân loại lỗi theo mức độ, Trần Bá Đạt điều thêm kỹ sư phát triển sang khắc phục lỗi nghiêm trọng, lỗi nhỏ đưa vào danh sách khắc phục trong bảo hành khi Chủ đầu tư đồng ý bằng văn bản</w:t>
            </w:r>
          </w:p>
        </w:tc>
        <w:tc>
          <w:tcPr>
            <w:tcW w:type="dxa" w:w="2500"/>
          </w:tcPr>
          <w:p>
            <w:pPr>
              <w:spacing w:before="0" w:after="40"/>
              <w:jc w:val="left"/>
            </w:pPr>
            <w:r>
              <w:rPr>
                <w:rFonts w:ascii="Times New Roman" w:hAnsi="Times New Roman" w:eastAsia="Times New Roman" w:cs="Times New Roman"/>
                <w:b w:val="0"/>
                <w:i w:val="0"/>
                <w:caps w:val="0"/>
                <w:color w:val="000000"/>
                <w:sz w:val="24"/>
              </w:rPr>
              <w:t>Ngày 21/07/2027 còn từ 4 lỗi nghiêm trọng hoặc cao đang mở (ngưỡng đỏ)</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6.2. Rủi ro mức trung bình và thấp</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3200"/>
        <w:gridCol w:w="25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Biện pháp phòng ngừa</w:t>
            </w:r>
          </w:p>
        </w:tc>
        <w:tc>
          <w:tcPr>
            <w:tcW w:type="dxa" w:w="3200"/>
          </w:tcPr>
          <w:p>
            <w:pPr>
              <w:spacing w:before="0" w:after="40"/>
              <w:jc w:val="left"/>
            </w:pPr>
            <w:r>
              <w:rPr>
                <w:rFonts w:ascii="Times New Roman" w:hAnsi="Times New Roman" w:eastAsia="Times New Roman" w:cs="Times New Roman"/>
                <w:b w:val="0"/>
                <w:i w:val="0"/>
                <w:caps w:val="0"/>
                <w:color w:val="000000"/>
                <w:sz w:val="24"/>
              </w:rPr>
              <w:t>Kế hoạch ứng phó khi xảy ra</w:t>
            </w:r>
          </w:p>
        </w:tc>
        <w:tc>
          <w:tcPr>
            <w:tcW w:type="dxa" w:w="2500"/>
          </w:tcPr>
          <w:p>
            <w:pPr>
              <w:spacing w:before="0" w:after="40"/>
              <w:jc w:val="left"/>
            </w:pPr>
            <w:r>
              <w:rPr>
                <w:rFonts w:ascii="Times New Roman" w:hAnsi="Times New Roman" w:eastAsia="Times New Roman" w:cs="Times New Roman"/>
                <w:b w:val="0"/>
                <w:i w:val="0"/>
                <w:caps w:val="0"/>
                <w:color w:val="000000"/>
                <w:sz w:val="24"/>
              </w:rPr>
              <w:t>Dấu hiệu nhận biết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2900"/>
          </w:tcPr>
          <w:p>
            <w:pPr>
              <w:spacing w:before="0" w:after="40"/>
              <w:jc w:val="left"/>
            </w:pPr>
            <w:r>
              <w:rPr>
                <w:rFonts w:ascii="Times New Roman" w:hAnsi="Times New Roman" w:eastAsia="Times New Roman" w:cs="Times New Roman"/>
                <w:b w:val="0"/>
                <w:i w:val="0"/>
                <w:caps w:val="0"/>
                <w:color w:val="000000"/>
                <w:sz w:val="24"/>
              </w:rPr>
              <w:t>Trình bày đặc tả theo từng phân hệ ngay khi hoàn thành trong S1, S2, mời chủ sản phẩm xem xét trong buổi làm rõ yêu cầu hằng tuần, ghi biên bản thống nhất từng phần trước khi thiết kế chi tiết chức năng tương ứng</w:t>
            </w:r>
          </w:p>
        </w:tc>
        <w:tc>
          <w:tcPr>
            <w:tcW w:type="dxa" w:w="3200"/>
          </w:tcPr>
          <w:p>
            <w:pPr>
              <w:spacing w:before="0" w:after="40"/>
              <w:jc w:val="left"/>
            </w:pPr>
            <w:r>
              <w:rPr>
                <w:rFonts w:ascii="Times New Roman" w:hAnsi="Times New Roman" w:eastAsia="Times New Roman" w:cs="Times New Roman"/>
                <w:b w:val="0"/>
                <w:i w:val="0"/>
                <w:caps w:val="0"/>
                <w:color w:val="000000"/>
                <w:sz w:val="24"/>
              </w:rPr>
              <w:t>Nguyễn Thị Phương Liên đề nghị Chủ đầu tư họp xác nhận trong 2 ngày làm việc. Thay đổi sau xác nhận đi qua quy trình yêu cầu thay đổi theo Mục 17.1(c) E-ĐKCT, có đánh giá khối lượng làm lại trước khi thực hiện</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5 ngày làm việc trước ngày dự kiến của M2 (06/05/2027) chưa có biên bản thống nhất đủ ba phân hệ, hoặc số yêu cầu sửa đổi đặc tả trong một tuần vượt 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2900"/>
          </w:tcPr>
          <w:p>
            <w:pPr>
              <w:spacing w:before="0" w:after="40"/>
              <w:jc w:val="left"/>
            </w:pPr>
            <w:r>
              <w:rPr>
                <w:rFonts w:ascii="Times New Roman" w:hAnsi="Times New Roman" w:eastAsia="Times New Roman" w:cs="Times New Roman"/>
                <w:b w:val="0"/>
                <w:i w:val="0"/>
                <w:caps w:val="0"/>
                <w:color w:val="000000"/>
                <w:sz w:val="24"/>
              </w:rPr>
              <w:t>Người đại diện của nhà thầu ban hành quyết định điều động nội bộ cho các vị trí bổ sung trước ngày hợp đồng có hiệu lực (18/03/2027), duy trì danh sách người dự phòng cho từng vị trí</w:t>
            </w:r>
          </w:p>
        </w:tc>
        <w:tc>
          <w:tcPr>
            <w:tcW w:type="dxa" w:w="3200"/>
          </w:tcPr>
          <w:p>
            <w:pPr>
              <w:spacing w:before="0" w:after="40"/>
              <w:jc w:val="left"/>
            </w:pPr>
            <w:r>
              <w:rPr>
                <w:rFonts w:ascii="Times New Roman" w:hAnsi="Times New Roman" w:eastAsia="Times New Roman" w:cs="Times New Roman"/>
                <w:b w:val="0"/>
                <w:i w:val="0"/>
                <w:caps w:val="0"/>
                <w:color w:val="000000"/>
                <w:sz w:val="24"/>
              </w:rPr>
              <w:t>Khi một vị trí chưa có mặt đúng sprint, Trần Bá Đạt chuyển gói của vị trí đó cho thành viên cùng năng lực còn dư quỹ và kích hoạt người dự phòng trong 3 ngày làm việc</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ngày hợp đồng có hiệu lực chưa có quyết định điều động của một vị trí, hoặc người giữ vị trí chưa hoàn thành bàn giao công việc đang làm trước sprint huy động 5 ngày làm việc</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2900"/>
          </w:tcPr>
          <w:p>
            <w:pPr>
              <w:spacing w:before="0" w:after="40"/>
              <w:jc w:val="left"/>
            </w:pPr>
            <w:r>
              <w:rPr>
                <w:rFonts w:ascii="Times New Roman" w:hAnsi="Times New Roman" w:eastAsia="Times New Roman" w:cs="Times New Roman"/>
                <w:b w:val="0"/>
                <w:i w:val="0"/>
                <w:caps w:val="0"/>
                <w:color w:val="000000"/>
                <w:sz w:val="24"/>
              </w:rPr>
              <w:t>Thống nhất mức lương khi ký hợp đồng với từng vị trí bổ sung và so với lương tham chiếu trước khi ký</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điều chỉnh thời điểm huy động hoặc tỷ lệ tham gia của vị trí đó và báo cáo tác động trong báo cáo tiến độ</w:t>
            </w:r>
          </w:p>
        </w:tc>
        <w:tc>
          <w:tcPr>
            <w:tcW w:type="dxa" w:w="2500"/>
          </w:tcPr>
          <w:p>
            <w:pPr>
              <w:spacing w:before="0" w:after="40"/>
              <w:jc w:val="left"/>
            </w:pPr>
            <w:r>
              <w:rPr>
                <w:rFonts w:ascii="Times New Roman" w:hAnsi="Times New Roman" w:eastAsia="Times New Roman" w:cs="Times New Roman"/>
                <w:b w:val="0"/>
                <w:i w:val="0"/>
                <w:caps w:val="0"/>
                <w:color w:val="000000"/>
                <w:sz w:val="24"/>
              </w:rPr>
              <w:t>Mức lương thỏa thuận của một vị trí bổ sung vượt lương tham chiếu trên 10%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2900"/>
          </w:tcPr>
          <w:p>
            <w:pPr>
              <w:spacing w:before="0" w:after="40"/>
              <w:jc w:val="left"/>
            </w:pPr>
            <w:r>
              <w:rPr>
                <w:rFonts w:ascii="Times New Roman" w:hAnsi="Times New Roman" w:eastAsia="Times New Roman" w:cs="Times New Roman"/>
                <w:b w:val="0"/>
                <w:i w:val="0"/>
                <w:caps w:val="0"/>
                <w:color w:val="000000"/>
                <w:sz w:val="24"/>
              </w:rPr>
              <w:t>Đề nghị Chủ đầu tư đăng ký tài khoản cửa hàng và môi trường thử của sàn ngay khi phụ lục có hiệu lực, khảo sát giao diện lập trình của sàn trong gói 5.2.1, lập trình trên dữ liệu mẫu theo tài liệu công khai của sàn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Lê Quang Huy lập danh sách thông tin kết nối còn thiếu, Trần Bá Đạt gửi văn bản đề nghị Chủ đầu tư làm việc với đơn vị vận hành sàn trong 1 ngày làm việc theo cam kết CK10, nhóm tiếp tục lập trình trên dữ liệu mẫu và chuyển kiểm thử tích hợp với sàn sang ngay khi có môi trường thử</w:t>
            </w:r>
          </w:p>
        </w:tc>
        <w:tc>
          <w:tcPr>
            <w:tcW w:type="dxa" w:w="2500"/>
          </w:tcPr>
          <w:p>
            <w:pPr>
              <w:spacing w:before="0" w:after="40"/>
              <w:jc w:val="left"/>
            </w:pPr>
            <w:r>
              <w:rPr>
                <w:rFonts w:ascii="Times New Roman" w:hAnsi="Times New Roman" w:eastAsia="Times New Roman" w:cs="Times New Roman"/>
                <w:b w:val="0"/>
                <w:i w:val="0"/>
                <w:caps w:val="0"/>
                <w:color w:val="000000"/>
                <w:sz w:val="24"/>
              </w:rPr>
              <w:t>Đến 9 giờ 00 ngày 10/06/2027 (hạn cam kết CK10) chưa có tài khoản người bán và khóa truy cập môi trường thử của sàn, hoặc sàn thông báo thay đổi giao diện lập trình trong thời gian thực hiện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2900"/>
          </w:tcPr>
          <w:p>
            <w:pPr>
              <w:spacing w:before="0" w:after="40"/>
              <w:jc w:val="left"/>
            </w:pPr>
            <w:r>
              <w:rPr>
                <w:rFonts w:ascii="Times New Roman" w:hAnsi="Times New Roman" w:eastAsia="Times New Roman" w:cs="Times New Roman"/>
                <w:b w:val="0"/>
                <w:i w:val="0"/>
                <w:caps w:val="0"/>
                <w:color w:val="000000"/>
                <w:sz w:val="24"/>
              </w:rPr>
              <w:t>Diễn tập triển khai và khôi phục trên môi trường vận hành, lập danh sách kiểm tra cut over được Chủ đầu tư xác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thực hiện phương án khôi phục trong kế hoạch cut over, Trần Bá Đạt thông báo Chủ đầu tư và thống nhất thời điểm triển khai lại trong ngày</w:t>
            </w:r>
          </w:p>
        </w:tc>
        <w:tc>
          <w:tcPr>
            <w:tcW w:type="dxa" w:w="2500"/>
          </w:tcPr>
          <w:p>
            <w:pPr>
              <w:spacing w:before="0" w:after="40"/>
              <w:jc w:val="left"/>
            </w:pPr>
            <w:r>
              <w:rPr>
                <w:rFonts w:ascii="Times New Roman" w:hAnsi="Times New Roman" w:eastAsia="Times New Roman" w:cs="Times New Roman"/>
                <w:b w:val="0"/>
                <w:i w:val="0"/>
                <w:caps w:val="0"/>
                <w:color w:val="000000"/>
                <w:sz w:val="24"/>
              </w:rPr>
              <w:t>Một bước trong danh sách kiểm tra cut over không đạt, hoặc kiểm tra sau triển khai có chức năng chính không hoạt động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2900"/>
          </w:tcPr>
          <w:p>
            <w:pPr>
              <w:spacing w:before="0" w:after="40"/>
              <w:jc w:val="left"/>
            </w:pPr>
            <w:r>
              <w:rPr>
                <w:rFonts w:ascii="Times New Roman" w:hAnsi="Times New Roman" w:eastAsia="Times New Roman" w:cs="Times New Roman"/>
                <w:b w:val="0"/>
                <w:i w:val="0"/>
                <w:caps w:val="0"/>
                <w:color w:val="000000"/>
                <w:sz w:val="24"/>
              </w:rPr>
              <w:t>Áp dụng băm mật khẩu, HTTPS, bảo vệ phiên, giới hạn đăng nhập sai theo KT04, kiểm thử bảo mật trước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phát hiện, Phạm Tuấn Anh khắc phục trong 24 giờ, Trần Bá Đạt thông báo Chủ đầu tư theo nghĩa vụ bảo mật</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bảo mật ghi nhận lỗ hổng mức cao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2900"/>
          </w:tcPr>
          <w:p>
            <w:pPr>
              <w:spacing w:before="0" w:after="40"/>
              <w:jc w:val="left"/>
            </w:pPr>
            <w:r>
              <w:rPr>
                <w:rFonts w:ascii="Times New Roman" w:hAnsi="Times New Roman" w:eastAsia="Times New Roman" w:cs="Times New Roman"/>
                <w:b w:val="0"/>
                <w:i w:val="0"/>
                <w:caps w:val="0"/>
                <w:color w:val="000000"/>
                <w:sz w:val="24"/>
              </w:rPr>
              <w:t>Kiểm thử từng nhóm chức năng ngay khi lập trình hoàn thành, sửa lỗi theo từng nhóm chức năng, theo dõi dự trữ của chuỗi kiểm thử hằng tuần từ S5</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điều các kỹ sư phát triển đang làm gói không nằm trên đường găng sang sửa lỗi, Nguyễn Thị Phương Liên ưu tiên kịch bản các luồng chính và báo Chủ đầu tư phạm vi kiểm thử chấp nhận đợt đầu</w:t>
            </w:r>
          </w:p>
        </w:tc>
        <w:tc>
          <w:tcPr>
            <w:tcW w:type="dxa" w:w="2500"/>
          </w:tcPr>
          <w:p>
            <w:pPr>
              <w:spacing w:before="0" w:after="40"/>
              <w:jc w:val="left"/>
            </w:pPr>
            <w:r>
              <w:rPr>
                <w:rFonts w:ascii="Times New Roman" w:hAnsi="Times New Roman" w:eastAsia="Times New Roman" w:cs="Times New Roman"/>
                <w:b w:val="0"/>
                <w:i w:val="0"/>
                <w:caps w:val="0"/>
                <w:color w:val="000000"/>
                <w:sz w:val="24"/>
              </w:rPr>
              <w:t>Mốc M4 chưa đạt sau 2 ngày làm việc so với ngày dự kiến trong master schedule, hoặc còn từ 4 lỗi nghiêm trọng hoặc cao đang mở ngày 12/07/2027 (ngưỡng đỏ)</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2900"/>
          </w:tcPr>
          <w:p>
            <w:pPr>
              <w:spacing w:before="0" w:after="40"/>
              <w:jc w:val="left"/>
            </w:pPr>
            <w:r>
              <w:rPr>
                <w:rFonts w:ascii="Times New Roman" w:hAnsi="Times New Roman" w:eastAsia="Times New Roman" w:cs="Times New Roman"/>
                <w:b w:val="0"/>
                <w:i w:val="0"/>
                <w:caps w:val="0"/>
                <w:color w:val="000000"/>
                <w:sz w:val="24"/>
              </w:rPr>
              <w:t>Đo thời gian phản hồi trong kiểm thử phân hệ (1.4.5), kiểm thử hiệu năng trên môi trường kiểm thử (1.4.9) trước kiểm thử chấp nhận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Phạm Tuấn Anh tối ưu truy vấn và bộ nhớ đệm, Ninh Đức Toàn mở rộng nút ứng dụng trên môi trường vận hành</w:t>
            </w:r>
          </w:p>
        </w:tc>
        <w:tc>
          <w:tcPr>
            <w:tcW w:type="dxa" w:w="2500"/>
          </w:tcPr>
          <w:p>
            <w:pPr>
              <w:spacing w:before="0" w:after="40"/>
              <w:jc w:val="left"/>
            </w:pPr>
            <w:r>
              <w:rPr>
                <w:rFonts w:ascii="Times New Roman" w:hAnsi="Times New Roman" w:eastAsia="Times New Roman" w:cs="Times New Roman"/>
                <w:b w:val="0"/>
                <w:i w:val="0"/>
                <w:caps w:val="0"/>
                <w:color w:val="000000"/>
                <w:sz w:val="24"/>
              </w:rPr>
              <w:t>Kiểm thử hiệu năng (1.4.9) có phân vị 95 của thao tác cốt lõi vượt 2 giây hoặc lỗi khi tải 500 người dùng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2900"/>
          </w:tcPr>
          <w:p>
            <w:pPr>
              <w:spacing w:before="0" w:after="40"/>
              <w:jc w:val="left"/>
            </w:pPr>
            <w:r>
              <w:rPr>
                <w:rFonts w:ascii="Times New Roman" w:hAnsi="Times New Roman" w:eastAsia="Times New Roman" w:cs="Times New Roman"/>
                <w:b w:val="0"/>
                <w:i w:val="0"/>
                <w:caps w:val="0"/>
                <w:color w:val="000000"/>
                <w:sz w:val="24"/>
              </w:rPr>
              <w:t>Thống nhất cấu hình và thời điểm bàn giao hạ tầng tại họp khởi động, nhắc lại trong báo cáo tiến độ S2, S3</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thiết lập môi trường tạm có cấu hình tương đương để tiếp tục cấu hình giám sát và kiểm thử, chuyển sang hạ tầng chính thức ngay khi được bàn giao. Trần Bá Đạt gửi văn bản đề nghị Chủ đầu tư xác nhận ngày bàn giao, bàn giao sau 10/06/2027 thì ghi nhận ảnh hưởng tiến độ do phía Chủ đầu tư theo Mục 18 E-ĐKC</w:t>
            </w:r>
          </w:p>
        </w:tc>
        <w:tc>
          <w:tcPr>
            <w:tcW w:type="dxa" w:w="2500"/>
          </w:tcPr>
          <w:p>
            <w:pPr>
              <w:spacing w:before="0" w:after="40"/>
              <w:jc w:val="left"/>
            </w:pPr>
            <w:r>
              <w:rPr>
                <w:rFonts w:ascii="Times New Roman" w:hAnsi="Times New Roman" w:eastAsia="Times New Roman" w:cs="Times New Roman"/>
                <w:b w:val="0"/>
                <w:i w:val="0"/>
                <w:caps w:val="0"/>
                <w:color w:val="000000"/>
                <w:sz w:val="24"/>
              </w:rPr>
              <w:t>Ngày 13/05/2027 Chủ đầu tư chưa xác nhận lịch bàn giao hạ tầng vận hành, hoặc đến 9 giờ 00 ngày 20/05/2027 chưa có biên bản bàn giao</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2900"/>
          </w:tcPr>
          <w:p>
            <w:pPr>
              <w:spacing w:before="0" w:after="40"/>
              <w:jc w:val="left"/>
            </w:pPr>
            <w:r>
              <w:rPr>
                <w:rFonts w:ascii="Times New Roman" w:hAnsi="Times New Roman" w:eastAsia="Times New Roman" w:cs="Times New Roman"/>
                <w:b w:val="0"/>
                <w:i w:val="0"/>
                <w:caps w:val="0"/>
                <w:color w:val="000000"/>
                <w:sz w:val="24"/>
              </w:rPr>
              <w:t>Ủy quyền chủ trì họp kỹ thuật cho Nguyễn Hoàng Nam, chuẩn hóa mẫu báo cáo tiến độ để giảm thời gian lập</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chuyển việc lập báo cáo tiến độ cho Nguyễn Thị Phương Liên, chuyển rà soát mã nguồn cho Nguyễn Hoàng Nam</w:t>
            </w:r>
          </w:p>
        </w:tc>
        <w:tc>
          <w:tcPr>
            <w:tcW w:type="dxa" w:w="2500"/>
          </w:tcPr>
          <w:p>
            <w:pPr>
              <w:spacing w:before="0" w:after="40"/>
              <w:jc w:val="left"/>
            </w:pPr>
            <w:r>
              <w:rPr>
                <w:rFonts w:ascii="Times New Roman" w:hAnsi="Times New Roman" w:eastAsia="Times New Roman" w:cs="Times New Roman"/>
                <w:b w:val="0"/>
                <w:i w:val="0"/>
                <w:caps w:val="0"/>
                <w:color w:val="000000"/>
                <w:sz w:val="24"/>
              </w:rPr>
              <w:t>Báo cáo tiến độ cuối sprint chậm quá 2 ngày làm việc, hoặc mốc M1 chưa đạt vào ngày hạn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2900"/>
          </w:tcPr>
          <w:p>
            <w:pPr>
              <w:spacing w:before="0" w:after="40"/>
              <w:jc w:val="left"/>
            </w:pPr>
            <w:r>
              <w:rPr>
                <w:rFonts w:ascii="Times New Roman" w:hAnsi="Times New Roman" w:eastAsia="Times New Roman" w:cs="Times New Roman"/>
                <w:b w:val="0"/>
                <w:i w:val="0"/>
                <w:caps w:val="0"/>
                <w:color w:val="000000"/>
                <w:sz w:val="24"/>
              </w:rPr>
              <w:t>Thiết kế triển khai dự phòng, giám sát và cảnh báo, diễn tập chuyển đổi dự phòng, sao lưu và khôi phục trên môi trường vận hành</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khôi phục theo quy trình đã diễn tập và báo cáo nguyên nhân trong 1 ngày làm việc</w:t>
            </w:r>
          </w:p>
        </w:tc>
        <w:tc>
          <w:tcPr>
            <w:tcW w:type="dxa" w:w="2500"/>
          </w:tcPr>
          <w:p>
            <w:pPr>
              <w:spacing w:before="0" w:after="40"/>
              <w:jc w:val="left"/>
            </w:pPr>
            <w:r>
              <w:rPr>
                <w:rFonts w:ascii="Times New Roman" w:hAnsi="Times New Roman" w:eastAsia="Times New Roman" w:cs="Times New Roman"/>
                <w:b w:val="0"/>
                <w:i w:val="0"/>
                <w:caps w:val="0"/>
                <w:color w:val="000000"/>
                <w:sz w:val="24"/>
              </w:rPr>
              <w:t>Diễn tập chuyển đổi dự phòng vượt 30 phút hoặc giám sát ghi nhận gián đoạn trong kiểm thử chấp nhận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2900"/>
          </w:tcPr>
          <w:p>
            <w:pPr>
              <w:spacing w:before="0" w:after="40"/>
              <w:jc w:val="left"/>
            </w:pPr>
            <w:r>
              <w:rPr>
                <w:rFonts w:ascii="Times New Roman" w:hAnsi="Times New Roman" w:eastAsia="Times New Roman" w:cs="Times New Roman"/>
                <w:b w:val="0"/>
                <w:i w:val="0"/>
                <w:caps w:val="0"/>
                <w:color w:val="000000"/>
                <w:sz w:val="24"/>
              </w:rPr>
              <w:t>Làm rõ phương thức thanh toán đơn hàng tại họp khởi động và ghi vào biên bản xác nhận đặc tả</w:t>
            </w:r>
          </w:p>
        </w:tc>
        <w:tc>
          <w:tcPr>
            <w:tcW w:type="dxa" w:w="3200"/>
          </w:tcPr>
          <w:p>
            <w:pPr>
              <w:spacing w:before="0" w:after="40"/>
              <w:jc w:val="left"/>
            </w:pPr>
            <w:r>
              <w:rPr>
                <w:rFonts w:ascii="Times New Roman" w:hAnsi="Times New Roman" w:eastAsia="Times New Roman" w:cs="Times New Roman"/>
                <w:b w:val="0"/>
                <w:i w:val="0"/>
                <w:caps w:val="0"/>
                <w:color w:val="000000"/>
                <w:sz w:val="24"/>
              </w:rPr>
              <w:t>Khi Chủ đầu tư yêu cầu, Nguyễn Thị Phương Liên lập yêu cầu thay đổi, đánh giá tác động theo kế hoạch quản lý thay đổi trước khi thực hiện</w:t>
            </w:r>
          </w:p>
        </w:tc>
        <w:tc>
          <w:tcPr>
            <w:tcW w:type="dxa" w:w="2500"/>
          </w:tcPr>
          <w:p>
            <w:pPr>
              <w:spacing w:before="0" w:after="40"/>
              <w:jc w:val="left"/>
            </w:pPr>
            <w:r>
              <w:rPr>
                <w:rFonts w:ascii="Times New Roman" w:hAnsi="Times New Roman" w:eastAsia="Times New Roman" w:cs="Times New Roman"/>
                <w:b w:val="0"/>
                <w:i w:val="0"/>
                <w:caps w:val="0"/>
                <w:color w:val="000000"/>
                <w:sz w:val="24"/>
              </w:rPr>
              <w:t>Biên bản họp khởi động hoặc đặc tả đặt hàng có nội dung thanh toán trực tuyến chưa thống nhất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2900"/>
          </w:tcPr>
          <w:p>
            <w:pPr>
              <w:spacing w:before="0" w:after="40"/>
              <w:jc w:val="left"/>
            </w:pPr>
            <w:r>
              <w:rPr>
                <w:rFonts w:ascii="Times New Roman" w:hAnsi="Times New Roman" w:eastAsia="Times New Roman" w:cs="Times New Roman"/>
                <w:b w:val="0"/>
                <w:i w:val="0"/>
                <w:caps w:val="0"/>
                <w:color w:val="000000"/>
                <w:sz w:val="24"/>
              </w:rPr>
              <w:t>Lập danh mục thư viện kèm giấy phép từ kiến trúc, chỉ dùng thư viện có giấy phép cho phép sử dụng thương mại</w:t>
            </w:r>
          </w:p>
        </w:tc>
        <w:tc>
          <w:tcPr>
            <w:tcW w:type="dxa" w:w="3200"/>
          </w:tcPr>
          <w:p>
            <w:pPr>
              <w:spacing w:before="0" w:after="40"/>
              <w:jc w:val="left"/>
            </w:pPr>
            <w:r>
              <w:rPr>
                <w:rFonts w:ascii="Times New Roman" w:hAnsi="Times New Roman" w:eastAsia="Times New Roman" w:cs="Times New Roman"/>
                <w:b w:val="0"/>
                <w:i w:val="0"/>
                <w:caps w:val="0"/>
                <w:color w:val="000000"/>
                <w:sz w:val="24"/>
              </w:rPr>
              <w:t>Khi phát hiện, Trần Bá Đạt chỉ định thư viện thay thế tương đương và cập nhật danh mục bàn giao</w:t>
            </w:r>
          </w:p>
        </w:tc>
        <w:tc>
          <w:tcPr>
            <w:tcW w:type="dxa" w:w="2500"/>
          </w:tcPr>
          <w:p>
            <w:pPr>
              <w:spacing w:before="0" w:after="40"/>
              <w:jc w:val="left"/>
            </w:pPr>
            <w:r>
              <w:rPr>
                <w:rFonts w:ascii="Times New Roman" w:hAnsi="Times New Roman" w:eastAsia="Times New Roman" w:cs="Times New Roman"/>
                <w:b w:val="0"/>
                <w:i w:val="0"/>
                <w:caps w:val="0"/>
                <w:color w:val="000000"/>
                <w:sz w:val="24"/>
              </w:rPr>
              <w:t>Danh mục thư viện có thư viện thuộc loại hạn chế sử dụng thương mại</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2900"/>
          </w:tcPr>
          <w:p>
            <w:pPr>
              <w:spacing w:before="0" w:after="40"/>
              <w:jc w:val="left"/>
            </w:pPr>
            <w:r>
              <w:rPr>
                <w:rFonts w:ascii="Times New Roman" w:hAnsi="Times New Roman" w:eastAsia="Times New Roman" w:cs="Times New Roman"/>
                <w:b w:val="0"/>
                <w:i w:val="0"/>
                <w:caps w:val="0"/>
                <w:color w:val="000000"/>
                <w:sz w:val="24"/>
              </w:rPr>
              <w:t>Mời cán bộ Chủ đầu tư dự trình diễn cuối sprint từ S4, gửi tài liệu hướng dẫn trước buổi hướng dẫn vận hành</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Nguyễn Thị Phương Liên tổ chức thêm buổi hướng dẫn theo từng vai trò và hỗ trợ trực tiếp trong kiểm thử chấp nhận</w:t>
            </w:r>
          </w:p>
        </w:tc>
        <w:tc>
          <w:tcPr>
            <w:tcW w:type="dxa" w:w="2500"/>
          </w:tcPr>
          <w:p>
            <w:pPr>
              <w:spacing w:before="0" w:after="40"/>
              <w:jc w:val="left"/>
            </w:pPr>
            <w:r>
              <w:rPr>
                <w:rFonts w:ascii="Times New Roman" w:hAnsi="Times New Roman" w:eastAsia="Times New Roman" w:cs="Times New Roman"/>
                <w:b w:val="0"/>
                <w:i w:val="0"/>
                <w:caps w:val="0"/>
                <w:color w:val="000000"/>
                <w:sz w:val="24"/>
              </w:rPr>
              <w:t>Trong kiểm thử chấp nhận, trên 20% kịch bản do cán bộ Chủ đầu tư thực hiện cần hỗ trợ</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2900"/>
          </w:tcPr>
          <w:p>
            <w:pPr>
              <w:spacing w:before="0" w:after="40"/>
              <w:jc w:val="left"/>
            </w:pPr>
            <w:r>
              <w:rPr>
                <w:rFonts w:ascii="Times New Roman" w:hAnsi="Times New Roman" w:eastAsia="Times New Roman" w:cs="Times New Roman"/>
                <w:b w:val="0"/>
                <w:i w:val="0"/>
                <w:caps w:val="0"/>
                <w:color w:val="000000"/>
                <w:sz w:val="24"/>
              </w:rPr>
              <w:t>Kiểm tra mẫu dữ liệu ngay khi có đặc tả giao diện tích hợp, công cụ chuyển đổi có bước kiểm tra toàn vẹn (4.3.10)</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lập báo cáo bản ghi lỗi để Chủ đầu tư chỉnh sửa trong Main System, nhóm chuyển đổi lại theo đợt</w:t>
            </w:r>
          </w:p>
        </w:tc>
        <w:tc>
          <w:tcPr>
            <w:tcW w:type="dxa" w:w="2500"/>
          </w:tcPr>
          <w:p>
            <w:pPr>
              <w:spacing w:before="0" w:after="40"/>
              <w:jc w:val="left"/>
            </w:pPr>
            <w:r>
              <w:rPr>
                <w:rFonts w:ascii="Times New Roman" w:hAnsi="Times New Roman" w:eastAsia="Times New Roman" w:cs="Times New Roman"/>
                <w:b w:val="0"/>
                <w:i w:val="0"/>
                <w:caps w:val="0"/>
                <w:color w:val="000000"/>
                <w:sz w:val="24"/>
              </w:rPr>
              <w:t>Ngày 10/06/2027 chưa nhận dữ liệu, hoặc trên 2% bản ghi không qua kiểm tra toàn vẹn</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2900"/>
          </w:tcPr>
          <w:p>
            <w:pPr>
              <w:spacing w:before="0" w:after="40"/>
              <w:jc w:val="left"/>
            </w:pPr>
            <w:r>
              <w:rPr>
                <w:rFonts w:ascii="Times New Roman" w:hAnsi="Times New Roman" w:eastAsia="Times New Roman" w:cs="Times New Roman"/>
                <w:b w:val="0"/>
                <w:i w:val="0"/>
                <w:caps w:val="0"/>
                <w:color w:val="000000"/>
                <w:sz w:val="24"/>
              </w:rPr>
              <w:t>Rà soát thành phần của hai dự án trước S1, chỉ dùng lại thành phần nhà thầu có quyền sử dụng</w:t>
            </w:r>
          </w:p>
        </w:tc>
        <w:tc>
          <w:tcPr>
            <w:tcW w:type="dxa" w:w="3200"/>
          </w:tcPr>
          <w:p>
            <w:pPr>
              <w:spacing w:before="0" w:after="40"/>
              <w:jc w:val="left"/>
            </w:pPr>
            <w:r>
              <w:rPr>
                <w:rFonts w:ascii="Times New Roman" w:hAnsi="Times New Roman" w:eastAsia="Times New Roman" w:cs="Times New Roman"/>
                <w:b w:val="0"/>
                <w:i w:val="0"/>
                <w:caps w:val="0"/>
                <w:color w:val="000000"/>
                <w:sz w:val="24"/>
              </w:rPr>
              <w:t>Khi xác nhận được thành phần dùng lại, Phạm Tuấn Anh và Vũ Đức Minh chuyển thời gian tiết kiệm sang lập trình phân hệ và kiểm thử</w:t>
            </w:r>
          </w:p>
        </w:tc>
        <w:tc>
          <w:tcPr>
            <w:tcW w:type="dxa" w:w="2500"/>
          </w:tcPr>
          <w:p>
            <w:pPr>
              <w:spacing w:before="0" w:after="40"/>
              <w:jc w:val="left"/>
            </w:pPr>
            <w:r>
              <w:rPr>
                <w:rFonts w:ascii="Times New Roman" w:hAnsi="Times New Roman" w:eastAsia="Times New Roman" w:cs="Times New Roman"/>
                <w:b w:val="0"/>
                <w:i w:val="0"/>
                <w:caps w:val="0"/>
                <w:color w:val="000000"/>
                <w:sz w:val="24"/>
              </w:rPr>
              <w:t>Hết S1 khung ứng dụng và thư viện giao diện đạt trên 70% chức năng cần thiết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2900"/>
          </w:tcPr>
          <w:p>
            <w:pPr>
              <w:spacing w:before="0" w:after="40"/>
              <w:jc w:val="left"/>
            </w:pPr>
            <w:r>
              <w:rPr>
                <w:rFonts w:ascii="Times New Roman" w:hAnsi="Times New Roman" w:eastAsia="Times New Roman" w:cs="Times New Roman"/>
                <w:b w:val="0"/>
                <w:i w:val="0"/>
                <w:caps w:val="0"/>
                <w:color w:val="000000"/>
                <w:sz w:val="24"/>
              </w:rPr>
              <w:t>Lập danh sách lỗi tồn tại khi bàn giao có biên bản Chủ đầu tư đồng ý, bàn giao tài liệu vận hành đầy đủ</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Ninh Đức Toàn bố trí người khắc phục theo thời hạn cam kết và báo cáo Chủ đầu tư</w:t>
            </w:r>
          </w:p>
        </w:tc>
        <w:tc>
          <w:tcPr>
            <w:tcW w:type="dxa" w:w="2500"/>
          </w:tcPr>
          <w:p>
            <w:pPr>
              <w:spacing w:before="0" w:after="40"/>
              <w:jc w:val="left"/>
            </w:pPr>
            <w:r>
              <w:rPr>
                <w:rFonts w:ascii="Times New Roman" w:hAnsi="Times New Roman" w:eastAsia="Times New Roman" w:cs="Times New Roman"/>
                <w:b w:val="0"/>
                <w:i w:val="0"/>
                <w:caps w:val="0"/>
                <w:color w:val="000000"/>
                <w:sz w:val="24"/>
              </w:rPr>
              <w:t>Số yêu cầu bảo hành trong tháng đầu sau cut over vượt 10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2900"/>
          </w:tcPr>
          <w:p>
            <w:pPr>
              <w:spacing w:before="0" w:after="40"/>
              <w:jc w:val="left"/>
            </w:pPr>
            <w:r>
              <w:rPr>
                <w:rFonts w:ascii="Times New Roman" w:hAnsi="Times New Roman" w:eastAsia="Times New Roman" w:cs="Times New Roman"/>
                <w:b w:val="0"/>
                <w:i w:val="0"/>
                <w:caps w:val="0"/>
                <w:color w:val="000000"/>
                <w:sz w:val="24"/>
              </w:rPr>
              <w:t>Lập tài liệu hướng dẫn thiết lập môi trường và triển khai, ít nhất hai người cùng thực hiện các gói hạ tầng chính</w:t>
            </w:r>
          </w:p>
        </w:tc>
        <w:tc>
          <w:tcPr>
            <w:tcW w:type="dxa" w:w="3200"/>
          </w:tcPr>
          <w:p>
            <w:pPr>
              <w:spacing w:before="0" w:after="40"/>
              <w:jc w:val="left"/>
            </w:pPr>
            <w:r>
              <w:rPr>
                <w:rFonts w:ascii="Times New Roman" w:hAnsi="Times New Roman" w:eastAsia="Times New Roman" w:cs="Times New Roman"/>
                <w:b w:val="0"/>
                <w:i w:val="0"/>
                <w:caps w:val="0"/>
                <w:color w:val="000000"/>
                <w:sz w:val="24"/>
              </w:rPr>
              <w:t>Khi một người vắng mặt, Trần Bá Đạt giao người còn lại thực hiện theo tài liệu hướng dẫn, ưu tiên gói trước cut over</w:t>
            </w:r>
          </w:p>
        </w:tc>
        <w:tc>
          <w:tcPr>
            <w:tcW w:type="dxa" w:w="2500"/>
          </w:tcPr>
          <w:p>
            <w:pPr>
              <w:spacing w:before="0" w:after="40"/>
              <w:jc w:val="left"/>
            </w:pPr>
            <w:r>
              <w:rPr>
                <w:rFonts w:ascii="Times New Roman" w:hAnsi="Times New Roman" w:eastAsia="Times New Roman" w:cs="Times New Roman"/>
                <w:b w:val="0"/>
                <w:i w:val="0"/>
                <w:caps w:val="0"/>
                <w:color w:val="000000"/>
                <w:sz w:val="24"/>
              </w:rPr>
              <w:t>Người phụ trách hạ tầng nghỉ quá 2 ngày làm việc liên tiếp</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2900"/>
          </w:tcPr>
          <w:p>
            <w:pPr>
              <w:spacing w:before="0" w:after="40"/>
              <w:jc w:val="left"/>
            </w:pPr>
            <w:r>
              <w:rPr>
                <w:rFonts w:ascii="Times New Roman" w:hAnsi="Times New Roman" w:eastAsia="Times New Roman" w:cs="Times New Roman"/>
                <w:b w:val="0"/>
                <w:i w:val="0"/>
                <w:caps w:val="0"/>
                <w:color w:val="000000"/>
                <w:sz w:val="24"/>
              </w:rPr>
              <w:t>Đề nghị Chủ đầu tư bàn giao môi trường thử theo từng phần ngay khi sẵn sàng, chuẩn bị kịch bản tích hợp từ S3</w:t>
            </w:r>
          </w:p>
        </w:tc>
        <w:tc>
          <w:tcPr>
            <w:tcW w:type="dxa" w:w="3200"/>
          </w:tcPr>
          <w:p>
            <w:pPr>
              <w:spacing w:before="0" w:after="40"/>
              <w:jc w:val="left"/>
            </w:pPr>
            <w:r>
              <w:rPr>
                <w:rFonts w:ascii="Times New Roman" w:hAnsi="Times New Roman" w:eastAsia="Times New Roman" w:cs="Times New Roman"/>
                <w:b w:val="0"/>
                <w:i w:val="0"/>
                <w:caps w:val="0"/>
                <w:color w:val="000000"/>
                <w:sz w:val="24"/>
              </w:rPr>
              <w:t>Khi có môi trường thử sớm, Ninh Đức Toàn bắt đầu kiểm thử tích hợp từng luồng ngay khi hoàn thành lập trình luồng đó</w:t>
            </w:r>
          </w:p>
        </w:tc>
        <w:tc>
          <w:tcPr>
            <w:tcW w:type="dxa" w:w="2500"/>
          </w:tcPr>
          <w:p>
            <w:pPr>
              <w:spacing w:before="0" w:after="40"/>
              <w:jc w:val="left"/>
            </w:pPr>
            <w:r>
              <w:rPr>
                <w:rFonts w:ascii="Times New Roman" w:hAnsi="Times New Roman" w:eastAsia="Times New Roman" w:cs="Times New Roman"/>
                <w:b w:val="0"/>
                <w:i w:val="0"/>
                <w:caps w:val="0"/>
                <w:color w:val="000000"/>
                <w:sz w:val="24"/>
              </w:rPr>
              <w:t>Chủ đầu tư thông báo môi trường thử sẵn sàng trước 20/05/2027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2900"/>
          </w:tcPr>
          <w:p>
            <w:pPr>
              <w:spacing w:before="0" w:after="40"/>
              <w:jc w:val="left"/>
            </w:pPr>
            <w:r>
              <w:rPr>
                <w:rFonts w:ascii="Times New Roman" w:hAnsi="Times New Roman" w:eastAsia="Times New Roman" w:cs="Times New Roman"/>
                <w:b w:val="0"/>
                <w:i w:val="0"/>
                <w:caps w:val="0"/>
                <w:color w:val="000000"/>
                <w:sz w:val="24"/>
              </w:rPr>
              <w:t>Theo dõi ngày dự kiến của M3, M9 hằng tuần, chuẩn bị hồ sơ thanh toán ngay khi đạt mốc, giữ hạn mức vốn lưu động đã thỏa thuận</w:t>
            </w:r>
          </w:p>
        </w:tc>
        <w:tc>
          <w:tcPr>
            <w:tcW w:type="dxa" w:w="3200"/>
          </w:tcPr>
          <w:p>
            <w:pPr>
              <w:spacing w:before="0" w:after="40"/>
              <w:jc w:val="left"/>
            </w:pPr>
            <w:r>
              <w:rPr>
                <w:rFonts w:ascii="Times New Roman" w:hAnsi="Times New Roman" w:eastAsia="Times New Roman" w:cs="Times New Roman"/>
                <w:b w:val="0"/>
                <w:i w:val="0"/>
                <w:caps w:val="0"/>
                <w:color w:val="000000"/>
                <w:sz w:val="24"/>
              </w:rPr>
              <w:t>Khi dấu hiệu xuất hiện, Trần Bá Đạt báo cáo người đại diện theo pháp luật của nhà thầu để dùng hạn mức vốn lưu động và đề nghị Chủ đầu tư rút ngắn thời gian xử lý hồ sơ</w:t>
            </w:r>
          </w:p>
        </w:tc>
        <w:tc>
          <w:tcPr>
            <w:tcW w:type="dxa" w:w="2500"/>
          </w:tcPr>
          <w:p>
            <w:pPr>
              <w:spacing w:before="0" w:after="40"/>
              <w:jc w:val="left"/>
            </w:pPr>
            <w:r>
              <w:rPr>
                <w:rFonts w:ascii="Times New Roman" w:hAnsi="Times New Roman" w:eastAsia="Times New Roman" w:cs="Times New Roman"/>
                <w:b w:val="0"/>
                <w:i w:val="0"/>
                <w:caps w:val="0"/>
                <w:color w:val="000000"/>
                <w:sz w:val="24"/>
              </w:rPr>
              <w:t>Ngày dự kiến của M3 hoặc M9 muộn hơn hạn trong phụ lục hợp đồng, hoặc chuỗi kiểm thử tích hợp trước M3 chậm quá 1 ngày làm việc</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Dự phòng thời gian và chi phí</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000"/>
        <w:gridCol w:w="4300"/>
      </w:tblGrid>
      <w:tr>
        <w:trPr>
          <w:tblHeader w:val="true"/>
        </w:trPr>
        <w:tc>
          <w:tcPr>
            <w:tcW w:type="dxa" w:w="50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4300"/>
          </w:tcPr>
          <w:p>
            <w:pPr>
              <w:spacing w:before="0" w:after="40"/>
              <w:jc w:val="right"/>
            </w:pPr>
            <w:r>
              <w:rPr>
                <w:rFonts w:ascii="Times New Roman" w:hAnsi="Times New Roman" w:eastAsia="Times New Roman" w:cs="Times New Roman"/>
                <w:b w:val="0"/>
                <w:i w:val="0"/>
                <w:caps w:val="0"/>
                <w:color w:val="000000"/>
                <w:sz w:val="24"/>
              </w:rPr>
              <w:t>Giá trị</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Tổng EMV của sổ (gồm rủi ro đã xảy ra, đã đóng)</w:t>
            </w:r>
          </w:p>
        </w:tc>
        <w:tc>
          <w:tcPr>
            <w:tcW w:type="dxa" w:w="4300"/>
          </w:tcPr>
          <w:p>
            <w:pPr>
              <w:spacing w:before="0" w:after="40"/>
              <w:jc w:val="right"/>
            </w:pPr>
            <w:r>
              <w:rPr>
                <w:rFonts w:ascii="Times New Roman" w:hAnsi="Times New Roman" w:eastAsia="Times New Roman" w:cs="Times New Roman"/>
                <w:b w:val="0"/>
                <w:i w:val="0"/>
                <w:caps w:val="0"/>
                <w:color w:val="000000"/>
                <w:sz w:val="24"/>
              </w:rPr>
              <w:t>48 MD, 151 triệu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Rủi ro đã xảy ra hoặc đã đóng, tác động thực tế</w:t>
            </w:r>
          </w:p>
        </w:tc>
        <w:tc>
          <w:tcPr>
            <w:tcW w:type="dxa" w:w="4300"/>
          </w:tcPr>
          <w:p>
            <w:pPr>
              <w:spacing w:before="0" w:after="40"/>
              <w:jc w:val="right"/>
            </w:pPr>
            <w:r>
              <w:rPr>
                <w:rFonts w:ascii="Times New Roman" w:hAnsi="Times New Roman" w:eastAsia="Times New Roman" w:cs="Times New Roman"/>
                <w:b w:val="0"/>
                <w:i w:val="0"/>
                <w:caps w:val="0"/>
                <w:color w:val="000000"/>
                <w:sz w:val="24"/>
              </w:rPr>
              <w:t>4 rủi ro, 1,50 MD, 3.150.000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còn lại theo khối lượng</w:t>
            </w:r>
          </w:p>
        </w:tc>
        <w:tc>
          <w:tcPr>
            <w:tcW w:type="dxa" w:w="4300"/>
          </w:tcPr>
          <w:p>
            <w:pPr>
              <w:spacing w:before="0" w:after="40"/>
              <w:jc w:val="right"/>
            </w:pPr>
            <w:r>
              <w:rPr>
                <w:rFonts w:ascii="Times New Roman" w:hAnsi="Times New Roman" w:eastAsia="Times New Roman" w:cs="Times New Roman"/>
                <w:b w:val="0"/>
                <w:i w:val="0"/>
                <w:caps w:val="0"/>
                <w:color w:val="000000"/>
                <w:sz w:val="24"/>
              </w:rPr>
              <w:t>31 MD (khoảng 21 đến 41 MD)</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còn lại theo chi phí</w:t>
            </w:r>
          </w:p>
        </w:tc>
        <w:tc>
          <w:tcPr>
            <w:tcW w:type="dxa" w:w="4300"/>
          </w:tcPr>
          <w:p>
            <w:pPr>
              <w:spacing w:before="0" w:after="40"/>
              <w:jc w:val="right"/>
            </w:pPr>
            <w:r>
              <w:rPr>
                <w:rFonts w:ascii="Times New Roman" w:hAnsi="Times New Roman" w:eastAsia="Times New Roman" w:cs="Times New Roman"/>
                <w:b w:val="0"/>
                <w:i w:val="0"/>
                <w:caps w:val="0"/>
                <w:color w:val="000000"/>
                <w:sz w:val="24"/>
              </w:rPr>
              <w:t>115 triệu đồng (khoảng 85 đến 146 triệu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Dự phòng chi phí trong dự toán</w:t>
            </w:r>
          </w:p>
        </w:tc>
        <w:tc>
          <w:tcPr>
            <w:tcW w:type="dxa" w:w="4300"/>
          </w:tcPr>
          <w:p>
            <w:pPr>
              <w:spacing w:before="0" w:after="40"/>
              <w:jc w:val="right"/>
            </w:pPr>
            <w:r>
              <w:rPr>
                <w:rFonts w:ascii="Times New Roman" w:hAnsi="Times New Roman" w:eastAsia="Times New Roman" w:cs="Times New Roman"/>
                <w:b w:val="0"/>
                <w:i w:val="0"/>
                <w:caps w:val="0"/>
                <w:color w:val="000000"/>
                <w:sz w:val="24"/>
              </w:rPr>
              <w:t>50.000.000 đồng, nằm trong khoản B 150.000.000 đồng</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Đánh giá dự phòng chi phí</w:t>
            </w:r>
          </w:p>
        </w:tc>
        <w:tc>
          <w:tcPr>
            <w:tcW w:type="dxa" w:w="4300"/>
          </w:tcPr>
          <w:p>
            <w:pPr>
              <w:spacing w:before="0" w:after="40"/>
              <w:jc w:val="right"/>
            </w:pPr>
            <w:r>
              <w:rPr>
                <w:rFonts w:ascii="Times New Roman" w:hAnsi="Times New Roman" w:eastAsia="Times New Roman" w:cs="Times New Roman"/>
                <w:b w:val="0"/>
                <w:i w:val="0"/>
                <w:caps w:val="0"/>
                <w:color w:val="000000"/>
                <w:sz w:val="24"/>
              </w:rPr>
              <w:t>Thiếu 65 triệu đồng so với EMV còn lại</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còn lại theo thời gian</w:t>
            </w:r>
          </w:p>
        </w:tc>
        <w:tc>
          <w:tcPr>
            <w:tcW w:type="dxa" w:w="4300"/>
          </w:tcPr>
          <w:p>
            <w:pPr>
              <w:spacing w:before="0" w:after="40"/>
              <w:jc w:val="right"/>
            </w:pPr>
            <w:r>
              <w:rPr>
                <w:rFonts w:ascii="Times New Roman" w:hAnsi="Times New Roman" w:eastAsia="Times New Roman" w:cs="Times New Roman"/>
                <w:b w:val="0"/>
                <w:i w:val="0"/>
                <w:caps w:val="0"/>
                <w:color w:val="000000"/>
                <w:sz w:val="24"/>
              </w:rPr>
              <w:t>13,6 ngày làm việc</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EMV thời gian của rủi ro trên đường găng hoặc gắn mốc cut over</w:t>
            </w:r>
          </w:p>
        </w:tc>
        <w:tc>
          <w:tcPr>
            <w:tcW w:type="dxa" w:w="4300"/>
          </w:tcPr>
          <w:p>
            <w:pPr>
              <w:spacing w:before="0" w:after="40"/>
              <w:jc w:val="right"/>
            </w:pPr>
            <w:r>
              <w:rPr>
                <w:rFonts w:ascii="Times New Roman" w:hAnsi="Times New Roman" w:eastAsia="Times New Roman" w:cs="Times New Roman"/>
                <w:b w:val="0"/>
                <w:i w:val="0"/>
                <w:caps w:val="0"/>
                <w:color w:val="000000"/>
                <w:sz w:val="24"/>
              </w:rPr>
              <w:t>3,4 ngày làm việc (khoảng 2,5 đến 4,3), 6 rủi ro</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Dự trữ thời gian đến cut over theo master schedule</w:t>
            </w:r>
          </w:p>
        </w:tc>
        <w:tc>
          <w:tcPr>
            <w:tcW w:type="dxa" w:w="4300"/>
          </w:tcPr>
          <w:p>
            <w:pPr>
              <w:spacing w:before="0" w:after="40"/>
              <w:jc w:val="right"/>
            </w:pPr>
            <w:r>
              <w:rPr>
                <w:rFonts w:ascii="Times New Roman" w:hAnsi="Times New Roman" w:eastAsia="Times New Roman" w:cs="Times New Roman"/>
                <w:b w:val="0"/>
                <w:i w:val="0"/>
                <w:caps w:val="0"/>
                <w:color w:val="000000"/>
                <w:sz w:val="24"/>
              </w:rPr>
              <w:t>7 ngày làm việc</w:t>
            </w:r>
          </w:p>
        </w:tc>
      </w:tr>
      <w:tr>
        <w:tc>
          <w:tcPr>
            <w:tcW w:type="dxa" w:w="5000"/>
          </w:tcPr>
          <w:p>
            <w:pPr>
              <w:spacing w:before="0" w:after="40"/>
              <w:jc w:val="left"/>
            </w:pPr>
            <w:r>
              <w:rPr>
                <w:rFonts w:ascii="Times New Roman" w:hAnsi="Times New Roman" w:eastAsia="Times New Roman" w:cs="Times New Roman"/>
                <w:b w:val="0"/>
                <w:i w:val="0"/>
                <w:caps w:val="0"/>
                <w:color w:val="000000"/>
                <w:sz w:val="24"/>
              </w:rPr>
              <w:t>Đánh giá dự trữ thời gian</w:t>
            </w:r>
          </w:p>
        </w:tc>
        <w:tc>
          <w:tcPr>
            <w:tcW w:type="dxa" w:w="4300"/>
          </w:tcPr>
          <w:p>
            <w:pPr>
              <w:spacing w:before="0" w:after="40"/>
              <w:jc w:val="right"/>
            </w:pPr>
            <w:r>
              <w:rPr>
                <w:rFonts w:ascii="Times New Roman" w:hAnsi="Times New Roman" w:eastAsia="Times New Roman" w:cs="Times New Roman"/>
                <w:b w:val="0"/>
                <w:i w:val="0"/>
                <w:caps w:val="0"/>
                <w:color w:val="000000"/>
                <w:sz w:val="24"/>
              </w:rPr>
              <w:t>Đủ</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Giá trị EMV là ước tính định hướng, in theo triệu đồng; khoảng trong ngoặc tính theo cận dưới và cận trên của mức xác suất.</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đến cut over đủ so với EMV thời gian 3,4 ngày làm việc của 6 rủi ro liên kết gói trên đường găng, gói gắn ngày cut over hoặc mốc cut over (RR02, RR03, RR04, RR08, RR09, RR10).</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đủ, không cần phương án bổ sung.</w:t>
      </w:r>
    </w:p>
    <w:p>
      <w:pPr>
        <w:spacing w:before="0" w:after="100" w:line="300" w:lineRule="auto"/>
        <w:jc w:val="both"/>
      </w:pPr>
      <w:r>
        <w:rPr>
          <w:rFonts w:ascii="Times New Roman" w:hAnsi="Times New Roman" w:eastAsia="Times New Roman" w:cs="Times New Roman"/>
          <w:b w:val="0"/>
          <w:i w:val="0"/>
          <w:caps w:val="0"/>
          <w:color w:val="000000"/>
          <w:sz w:val="26"/>
        </w:rPr>
        <w:t>Quy tắc sử dụng dự phòng rủi ro lấy từ nguồn chung với thuyết minh dự toán, kế hoạch quản lý thay đổi và master plan.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phê duyệt khoản dùng cho rủi ro do thành viên khác phụ trách. Người đại diện ký hợp đồng của nhà thầu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Phần vượt dự phòng</w:t>
            </w:r>
          </w:p>
        </w:tc>
        <w:tc>
          <w:tcPr>
            <w:tcW w:type="dxa" w:w="7000"/>
          </w:tcPr>
          <w:p>
            <w:pPr>
              <w:spacing w:before="0" w:after="40"/>
              <w:jc w:val="left"/>
            </w:pPr>
            <w:r>
              <w:rPr>
                <w:rFonts w:ascii="Times New Roman" w:hAnsi="Times New Roman" w:eastAsia="Times New Roman" w:cs="Times New Roman"/>
                <w:b w:val="0"/>
                <w:i w:val="0"/>
                <w:caps w:val="0"/>
                <w:color w:val="000000"/>
                <w:sz w:val="24"/>
              </w:rPr>
              <w:t>Khi tổng chi phí ứng phó vượt dự phòng hiện có, phần vượt được bù từ phần còn lại của giá chào sau khi trừ lương kế hoạch và khoản B theo quyết định của nhóm ngày 18/10/2026, phần này gồm khoản C và phần khoản A chưa dùng cho lương theo quyết định của nhóm ngày 25/10/2026, do người đại diện ký hợp đồng của nhà thầu phê duyệt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Dự phòng chi phí trong dự toán là 50.000.000 đồng, nằm trong khoản B và thấp hơn tổng EMV theo chi phí 151 triệu đồng (khoảng 113 đến 189 triệu đồng) và thấp hơn EMV còn lại 115.413.014 đồng của các rủi ro chưa xảy ra, chưa đóng. Tác động thực tế của các rủi ro đã xảy ra là công làm bù đã tính trong chi phí lương, dự phòng chưa phải sử dụng. Theo quyết định của nhóm, mức dự phòng này được giữ nguyên, phần tác động vượt dự phòng khi rủi ro xảy ra được bù từ phần còn lại của giá chào sau lương kế hoạch và khoản B (471.185.241 đồng). Việc sử dụng dự phòng và khoản bù thực hiện theo bảng quy tắc dùng dự phòng dùng chung ở trên. Vốn lưu động chuẩn bị là 600.000.000 đồng, giả định chi phí vốn của RR19 giữ nguyên.</w:t>
      </w:r>
    </w:p>
    <w:p>
      <w:pPr>
        <w:spacing w:before="0" w:after="100" w:line="300" w:lineRule="auto"/>
        <w:jc w:val="both"/>
      </w:pPr>
      <w:r>
        <w:rPr>
          <w:rFonts w:ascii="Times New Roman" w:hAnsi="Times New Roman" w:eastAsia="Times New Roman" w:cs="Times New Roman"/>
          <w:b w:val="0"/>
          <w:i w:val="0"/>
          <w:caps w:val="0"/>
          <w:color w:val="000000"/>
          <w:sz w:val="26"/>
        </w:rPr>
        <w:t>Dự trữ thời gian đến cut over theo lịch lập lại sau yêu cầu thay đổi CR01 là 7,0 ngày làm việc. Trong 6 rủi ro trên đường găng hoặc gắn cut over (RR02, RR03, RR04, RR08, RR09, RR10), RR02 đã xảy ra và RR04 đã đóng nên không còn góp EMV thời gian, bốn rủi ro còn mở RR03, RR08, RR09, RR10 có EMV thời gian 3,4 ngày (khoảng 2,5 đến 4,3 ngày). Kết luận đánh giá: Đủ, dự trữ bao phủ cả cận cao của EMV thời gian.</w:t>
      </w:r>
    </w:p>
    <w:p>
      <w:pPr>
        <w:spacing w:before="0" w:after="100" w:line="300" w:lineRule="auto"/>
        <w:jc w:val="both"/>
      </w:pPr>
      <w:r>
        <w:rPr>
          <w:rFonts w:ascii="Times New Roman" w:hAnsi="Times New Roman" w:eastAsia="Times New Roman" w:cs="Times New Roman"/>
          <w:b w:val="0"/>
          <w:i w:val="0"/>
          <w:caps w:val="0"/>
          <w:color w:val="000000"/>
          <w:sz w:val="26"/>
        </w:rPr>
        <w:t>Ngày cut over 29/07/2027 theo phụ lục hợp đồng được chọn để giữ dự trữ không thấp hơn mức khi ký hợp đồng. Quản trị dự án theo dõi hằng tuần các rủi ro RR02, RR03, RR04, RR08, RR09, RR10 và mức dự trữ còn lại trong báo cáo tiến độ, thông báo Chủ đầu tư khi dự trữ còn dưới 2 ngày làm việc. Khi cần đẩy nhanh các gói trên đường găng, quản trị dự án điều chuyển thành viên cùng loại công việc còn quỹ huy động chưa giao theo bảng sử dụng quỹ của master schedule.</w:t>
      </w:r>
    </w:p>
    <w:p>
      <w:pPr>
        <w:pStyle w:val="Heading1"/>
        <w:keepNext/>
        <w:spacing w:before="240" w:after="120"/>
        <w:jc w:val="left"/>
      </w:pPr>
      <w:r>
        <w:rPr>
          <w:rFonts w:ascii="Times New Roman" w:hAnsi="Times New Roman" w:eastAsia="Times New Roman" w:cs="Times New Roman"/>
          <w:b w:val="0"/>
          <w:i w:val="0"/>
          <w:caps w:val="0"/>
          <w:color w:val="000000"/>
          <w:sz w:val="30"/>
        </w:rPr>
        <w:t>8. Theo dõi, ngưỡng cảnh báo và báo cáo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1600"/>
        <w:gridCol w:w="1600"/>
        <w:gridCol w:w="48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4"/>
              </w:rPr>
              <w:t>Chỉ số</w:t>
            </w:r>
          </w:p>
        </w:tc>
        <w:tc>
          <w:tcPr>
            <w:tcW w:type="dxa" w:w="1600"/>
          </w:tcPr>
          <w:p>
            <w:pPr>
              <w:spacing w:before="0" w:after="40"/>
              <w:jc w:val="left"/>
            </w:pPr>
            <w:r>
              <w:rPr>
                <w:rFonts w:ascii="Times New Roman" w:hAnsi="Times New Roman" w:eastAsia="Times New Roman" w:cs="Times New Roman"/>
                <w:b w:val="0"/>
                <w:i w:val="0"/>
                <w:caps w:val="0"/>
                <w:color w:val="000000"/>
                <w:sz w:val="24"/>
              </w:rPr>
              <w:t>Ngưỡng vàng</w:t>
            </w:r>
          </w:p>
        </w:tc>
        <w:tc>
          <w:tcPr>
            <w:tcW w:type="dxa" w:w="1600"/>
          </w:tcPr>
          <w:p>
            <w:pPr>
              <w:spacing w:before="0" w:after="40"/>
              <w:jc w:val="left"/>
            </w:pPr>
            <w:r>
              <w:rPr>
                <w:rFonts w:ascii="Times New Roman" w:hAnsi="Times New Roman" w:eastAsia="Times New Roman" w:cs="Times New Roman"/>
                <w:b w:val="0"/>
                <w:i w:val="0"/>
                <w:caps w:val="0"/>
                <w:color w:val="000000"/>
                <w:sz w:val="24"/>
              </w:rPr>
              <w:t>Ngưỡng đỏ</w:t>
            </w:r>
          </w:p>
        </w:tc>
        <w:tc>
          <w:tcPr>
            <w:tcW w:type="dxa" w:w="4800"/>
          </w:tcPr>
          <w:p>
            <w:pPr>
              <w:spacing w:before="0" w:after="40"/>
              <w:jc w:val="left"/>
            </w:pPr>
            <w:r>
              <w:rPr>
                <w:rFonts w:ascii="Times New Roman" w:hAnsi="Times New Roman" w:eastAsia="Times New Roman" w:cs="Times New Roman"/>
                <w:b w:val="0"/>
                <w:i w:val="0"/>
                <w:caps w:val="0"/>
                <w:color w:val="000000"/>
                <w:sz w:val="24"/>
              </w:rPr>
              <w:t>Hành động khi chạm ngưỡng</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SPI</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0,95</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0,85</w:t>
            </w:r>
          </w:p>
        </w:tc>
        <w:tc>
          <w:tcPr>
            <w:tcW w:type="dxa" w:w="4800"/>
          </w:tcPr>
          <w:p>
            <w:pPr>
              <w:spacing w:before="0" w:after="40"/>
              <w:jc w:val="left"/>
            </w:pPr>
            <w:r>
              <w:rPr>
                <w:rFonts w:ascii="Times New Roman" w:hAnsi="Times New Roman" w:eastAsia="Times New Roman" w:cs="Times New Roman"/>
                <w:b w:val="0"/>
                <w:i w:val="0"/>
                <w:caps w:val="0"/>
                <w:color w:val="000000"/>
                <w:sz w:val="24"/>
              </w:rPr>
              <w:t>Rà soát rủi ro tiến độ, kích hoạt kế hoạch ứng phó của rủi ro liên quan</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CPI</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0,95</w:t>
            </w:r>
          </w:p>
        </w:tc>
        <w:tc>
          <w:tcPr>
            <w:tcW w:type="dxa" w:w="1600"/>
          </w:tcPr>
          <w:p>
            <w:pPr>
              <w:spacing w:before="0" w:after="40"/>
              <w:jc w:val="left"/>
            </w:pPr>
            <w:r>
              <w:rPr>
                <w:rFonts w:ascii="Times New Roman" w:hAnsi="Times New Roman" w:eastAsia="Times New Roman" w:cs="Times New Roman"/>
                <w:b w:val="0"/>
                <w:i w:val="0"/>
                <w:caps w:val="0"/>
                <w:color w:val="000000"/>
                <w:sz w:val="24"/>
              </w:rPr>
              <w:t>dưới 0,85</w:t>
            </w:r>
          </w:p>
        </w:tc>
        <w:tc>
          <w:tcPr>
            <w:tcW w:type="dxa" w:w="4800"/>
          </w:tcPr>
          <w:p>
            <w:pPr>
              <w:spacing w:before="0" w:after="40"/>
              <w:jc w:val="left"/>
            </w:pPr>
            <w:r>
              <w:rPr>
                <w:rFonts w:ascii="Times New Roman" w:hAnsi="Times New Roman" w:eastAsia="Times New Roman" w:cs="Times New Roman"/>
                <w:b w:val="0"/>
                <w:i w:val="0"/>
                <w:caps w:val="0"/>
                <w:color w:val="000000"/>
                <w:sz w:val="24"/>
              </w:rPr>
              <w:t>Rà soát rủi ro chi phí, xem xét dùng dự phòng theo quy định</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Lỗi nghiêm trọng hoặc cao đang mở (cùng cách đếm với dấu hiệu RR03, RR10)</w:t>
            </w:r>
          </w:p>
        </w:tc>
        <w:tc>
          <w:tcPr>
            <w:tcW w:type="dxa" w:w="1600"/>
          </w:tcPr>
          <w:p>
            <w:pPr>
              <w:spacing w:before="0" w:after="40"/>
              <w:jc w:val="left"/>
            </w:pPr>
            <w:r>
              <w:rPr>
                <w:rFonts w:ascii="Times New Roman" w:hAnsi="Times New Roman" w:eastAsia="Times New Roman" w:cs="Times New Roman"/>
                <w:b w:val="0"/>
                <w:i w:val="0"/>
                <w:caps w:val="0"/>
                <w:color w:val="000000"/>
                <w:sz w:val="24"/>
              </w:rPr>
              <w:t>từ 2</w:t>
            </w:r>
          </w:p>
        </w:tc>
        <w:tc>
          <w:tcPr>
            <w:tcW w:type="dxa" w:w="1600"/>
          </w:tcPr>
          <w:p>
            <w:pPr>
              <w:spacing w:before="0" w:after="40"/>
              <w:jc w:val="left"/>
            </w:pPr>
            <w:r>
              <w:rPr>
                <w:rFonts w:ascii="Times New Roman" w:hAnsi="Times New Roman" w:eastAsia="Times New Roman" w:cs="Times New Roman"/>
                <w:b w:val="0"/>
                <w:i w:val="0"/>
                <w:caps w:val="0"/>
                <w:color w:val="000000"/>
                <w:sz w:val="24"/>
              </w:rPr>
              <w:t>từ 4</w:t>
            </w:r>
          </w:p>
        </w:tc>
        <w:tc>
          <w:tcPr>
            <w:tcW w:type="dxa" w:w="4800"/>
          </w:tcPr>
          <w:p>
            <w:pPr>
              <w:spacing w:before="0" w:after="40"/>
              <w:jc w:val="left"/>
            </w:pPr>
            <w:r>
              <w:rPr>
                <w:rFonts w:ascii="Times New Roman" w:hAnsi="Times New Roman" w:eastAsia="Times New Roman" w:cs="Times New Roman"/>
                <w:b w:val="0"/>
                <w:i w:val="0"/>
                <w:caps w:val="0"/>
                <w:color w:val="000000"/>
                <w:sz w:val="24"/>
              </w:rPr>
              <w:t>Ưu tiên khắc phục, đánh giá lại rủi ro chất lượng, mức đỏ kích hoạt kế hoạch ứng phó của RR03, RR10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Sổ rủi ro được rà soát trong cuộc họp mỗi sprint và tổng hợp trong báo cáo tiến độ cuối sprint. Mỗi rủi ro có một trong bốn trạng thái theo nhật ký theo dõi: Đang theo dõi, Đã kích hoạt ứng phó, Đã xảy ra, Đã đóng. Người phụ trách cập nhật trạng thái, dấu hiệu đã quan sát, xác suất và tác động còn lại. Rủi ro được đóng khi đạt điều kiện đóng ghi trong sổ và được quản trị dự án xác nhận. Rủi ro mới do thành viên hoặc Chủ đầu tư phát hiện được bổ sung vào sổ, chấm điểm và giao người phụ trách ngay trong kỳ.</w:t>
      </w:r>
    </w:p>
    <w:p>
      <w:pPr>
        <w:spacing w:before="0" w:after="100" w:line="300" w:lineRule="auto"/>
        <w:jc w:val="both"/>
      </w:pPr>
      <w:r>
        <w:rPr>
          <w:rFonts w:ascii="Times New Roman" w:hAnsi="Times New Roman" w:eastAsia="Times New Roman" w:cs="Times New Roman"/>
          <w:b w:val="0"/>
          <w:i w:val="0"/>
          <w:caps w:val="0"/>
          <w:color w:val="000000"/>
          <w:sz w:val="26"/>
        </w:rPr>
        <w:t>Đến ngày 27/05/2027, sổ có 18 rủi ro ở trạng thái Đang theo dõi, 0 rủi ro đã kích hoạt ứng phó, 1 rủi ro đã xảy ra và 3 rủi ro đã đóng. Rủi ro RR04 xảy ra ngày 01/04/2027 và đóng ngày 19/04/2027 với tác động thực tế 0,50 MD. Rủi ro RR02 được kích hoạt ứng phó khi chưa nhận tài liệu Main System tại hạn cam kết, xảy ra ngày 19/04/2027 với tác động thực tế 1 MD. Ngày 27/05/2027, rà soát sổ sau phụ lục hợp đồng đóng RR01 (biên bản xác nhận đặc tả đã ký, không còn yêu cầu sửa đổi đặc tả đang mở) và cơ hội RR21 (môi trường thử Main System bàn giao đúng hạn, kiểm thử tích hợp đã bắt đầu).</w:t>
      </w:r>
    </w:p>
    <w:p>
      <w:pPr>
        <w:spacing w:before="0" w:after="100" w:line="300" w:lineRule="auto"/>
        <w:jc w:val="both"/>
      </w:pPr>
      <w:r>
        <w:rPr>
          <w:rFonts w:ascii="Times New Roman" w:hAnsi="Times New Roman" w:eastAsia="Times New Roman" w:cs="Times New Roman"/>
          <w:b w:val="0"/>
          <w:i w:val="0"/>
          <w:caps w:val="0"/>
          <w:color w:val="000000"/>
          <w:sz w:val="26"/>
        </w:rPr>
        <w:t>Báo cáo tiến độ dùng SPI và CPI làm tín hiệu cảnh báo theo bảng ngưỡng: khi chạm ngưỡng vàng hoặc đỏ, quản trị dự án rà soát các rủi ro tiến độ, chi phí liên quan và kích hoạt kế hoạch ứng phó. Báo cáo tiến độ mỗi kỳ gửi Chủ đầu tư nêu mức dự trữ thời gian còn lại, tình hình rủi ro hạng A và rủi ro thuộc phía Chủ đầu tư. Ứng phó cần thay đổi được chuyển sang quy trình của kế hoạch quản lý thay đổi.</w:t>
      </w:r>
    </w:p>
    <w:p>
      <w:pPr>
        <w:pStyle w:val="Heading1"/>
        <w:keepNext/>
        <w:spacing w:before="240" w:after="120"/>
        <w:jc w:val="left"/>
      </w:pPr>
      <w:r>
        <w:rPr>
          <w:rFonts w:ascii="Times New Roman" w:hAnsi="Times New Roman" w:eastAsia="Times New Roman" w:cs="Times New Roman"/>
          <w:b w:val="0"/>
          <w:i w:val="0"/>
          <w:caps w:val="0"/>
          <w:color w:val="000000"/>
          <w:sz w:val="30"/>
        </w:rPr>
        <w:t>9. Quan hệ với quản lý thay đổi</w:t>
      </w:r>
    </w:p>
    <w:p>
      <w:pPr>
        <w:spacing w:before="0" w:after="100" w:line="300" w:lineRule="auto"/>
        <w:jc w:val="both"/>
      </w:pPr>
      <w:r>
        <w:rPr>
          <w:rFonts w:ascii="Times New Roman" w:hAnsi="Times New Roman" w:eastAsia="Times New Roman" w:cs="Times New Roman"/>
          <w:b w:val="0"/>
          <w:i w:val="0"/>
          <w:caps w:val="0"/>
          <w:color w:val="000000"/>
          <w:sz w:val="26"/>
        </w:rPr>
        <w:t>Khi ứng phó rủi ro làm thay đổi phạm vi, lịch hoặc chi phí, người phụ trách rủi ro lập yêu cầu thay đổi ghi kèm mã rủi ro. Yêu cầu thay đổi được đánh giá tác động và phê duyệt theo kế hoạch quản lý thay đổi, sau đó các tài liệu bị ảnh hưởng như WBS, master schedule, cost estimate và sổ rủi ro được cập nhật theo sơ đồ phụ thuộc và ghi phiên bản mới trong sổ phiên bản.</w:t>
      </w:r>
    </w:p>
    <w:p>
      <w:pPr>
        <w:spacing w:before="0" w:after="100" w:line="300" w:lineRule="auto"/>
        <w:jc w:val="both"/>
      </w:pPr>
      <w:r>
        <w:rPr>
          <w:rFonts w:ascii="Times New Roman" w:hAnsi="Times New Roman" w:eastAsia="Times New Roman" w:cs="Times New Roman"/>
          <w:b w:val="0"/>
          <w:i w:val="0"/>
          <w:caps w:val="0"/>
          <w:color w:val="000000"/>
          <w:sz w:val="26"/>
        </w:rPr>
        <w:t>Yêu cầu thay đổi CR01 bán hàng trên sàn thương mại điện tử do Chủ đầu tư đề nghị là thay đổi phạm vi, không phát sinh từ rủi ro trong sổ và không dùng dự phòng. Sau khi phụ lục hợp đồng có hiệu lực, sổ rủi ro được rà soát lại theo lịch lập lại: cập nhật ngày của các rủi ro gắn khoảng kiểm thử chấp nhận và ngày triển khai chính thức, chấm lại mức tác động theo dự trữ mới và bổ sung rủi ro RR22 ghi liên kết yêu cầu thay đổi.</w:t>
      </w:r>
    </w:p>
    <w:sectPr w:rsidR="00FC693F" w:rsidRPr="0006063C" w:rsidSect="00034616">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 hoạch thực hiện - Kế hoạch quản lý rủi 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quản lý rủi ro</dc:title>
  <dc:subject/>
  <dc:creator>Trần Bá Đạt</dc:creator>
  <cp:keywords/>
  <dc:description/>
  <cp:lastModifiedBy>Trần Bá Đạt</cp:lastModifiedBy>
  <cp:revision>1</cp:revision>
  <dcterms:created xsi:type="dcterms:W3CDTF">2026-10-25T17:48:44Z</dcterms:created>
  <dcterms:modified xsi:type="dcterms:W3CDTF">2026-10-25T17:48:44Z</dcterms:modified>
  <cp:category/>
</cp:coreProperties>
</file>