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S1, ngày báo cáo 31/03/2027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31/03/2027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10/83 ngày làm việc (12,0%)</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55,54/657,00 MD (8,5%)</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1,01</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55,25/80,00 MD (69,1%)</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01/07/2027 (kế hoạch 01/07/2027, cut over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S1 ngày 31/03/2027, dự án ở trạng thái chung Xanh. SPI đạt 1,00, CPI theo công đạt 1,01, CPI theo chi phí thực đạt 1,00. Giá trị thu được 55,54 MD so với kế hoạch 55,50 MD, công thực tế 55,25 MD, khối lượng hoàn thành đạt 8,5% toàn dự án.</w:t>
      </w:r>
    </w:p>
    <w:p>
      <w:pPr>
        <w:spacing w:before="0" w:after="100" w:line="300" w:lineRule="auto"/>
        <w:jc w:val="both"/>
      </w:pPr>
      <w:r>
        <w:rPr>
          <w:rFonts w:ascii="Times New Roman" w:hAnsi="Times New Roman" w:eastAsia="Times New Roman" w:cs="Times New Roman"/>
          <w:b w:val="0"/>
          <w:i w:val="0"/>
          <w:caps w:val="0"/>
          <w:color w:val="000000"/>
          <w:sz w:val="26"/>
        </w:rPr>
        <w:t>Tỷ lệ sử dụng quỹ huy động đạt 69,1%, còn 24,75 MD sẵn sàng không ghi công trên 80,00 MD huy động. Phần này chủ yếu thuộc các vị trí lập trình mới tham gia khung ứng dụng trong sprint đầu, với cách trả theo công sức (MD công việc) phần này không phát sinh chi phí lương. Chi phí khác đã chi 15.000.000 đồng thuộc khoản mục môi trường, công cụ.</w:t>
      </w:r>
    </w:p>
    <w:p>
      <w:pPr>
        <w:spacing w:before="0" w:after="100" w:line="300" w:lineRule="auto"/>
        <w:jc w:val="both"/>
      </w:pPr>
      <w:r>
        <w:rPr>
          <w:rFonts w:ascii="Times New Roman" w:hAnsi="Times New Roman" w:eastAsia="Times New Roman" w:cs="Times New Roman"/>
          <w:b w:val="0"/>
          <w:i w:val="0"/>
          <w:caps w:val="0"/>
          <w:color w:val="000000"/>
          <w:sz w:val="26"/>
        </w:rPr>
        <w:t>Dự báo hoàn thành ngày 01/07/2027, trùng ngày cut over 01/07/2027. EAC theo công 653,57 MD so với BAC 657,00 MD. Khung ứng dụng giao diện tái sử dụng thư viện có sẵn bù cho phần công phát sinh của nghiên cứu hành vi người dùng.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657,00</w:t>
            </w:r>
          </w:p>
        </w:tc>
        <w:tc>
          <w:tcPr>
            <w:tcW w:type="dxa" w:w="3200"/>
          </w:tcPr>
          <w:p>
            <w:pPr>
              <w:spacing w:before="0" w:after="40"/>
              <w:jc w:val="right"/>
            </w:pPr>
            <w:r>
              <w:rPr>
                <w:rFonts w:ascii="Times New Roman" w:hAnsi="Times New Roman" w:eastAsia="Times New Roman" w:cs="Times New Roman"/>
                <w:b w:val="0"/>
                <w:i w:val="0"/>
                <w:caps w:val="0"/>
                <w:color w:val="000000"/>
                <w:sz w:val="24"/>
              </w:rPr>
              <w:t>1.420.050.000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55,50</w:t>
            </w:r>
          </w:p>
        </w:tc>
        <w:tc>
          <w:tcPr>
            <w:tcW w:type="dxa" w:w="3200"/>
          </w:tcPr>
          <w:p>
            <w:pPr>
              <w:spacing w:before="0" w:after="40"/>
              <w:jc w:val="right"/>
            </w:pPr>
            <w:r>
              <w:rPr>
                <w:rFonts w:ascii="Times New Roman" w:hAnsi="Times New Roman" w:eastAsia="Times New Roman" w:cs="Times New Roman"/>
                <w:b w:val="0"/>
                <w:i w:val="0"/>
                <w:caps w:val="0"/>
                <w:color w:val="000000"/>
                <w:sz w:val="24"/>
              </w:rPr>
              <w:t>123.625.000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55,54</w:t>
            </w:r>
          </w:p>
        </w:tc>
        <w:tc>
          <w:tcPr>
            <w:tcW w:type="dxa" w:w="3200"/>
          </w:tcPr>
          <w:p>
            <w:pPr>
              <w:spacing w:before="0" w:after="40"/>
              <w:jc w:val="right"/>
            </w:pPr>
            <w:r>
              <w:rPr>
                <w:rFonts w:ascii="Times New Roman" w:hAnsi="Times New Roman" w:eastAsia="Times New Roman" w:cs="Times New Roman"/>
                <w:b w:val="0"/>
                <w:i w:val="0"/>
                <w:caps w:val="0"/>
                <w:color w:val="000000"/>
                <w:sz w:val="24"/>
              </w:rPr>
              <w:t>123.741.000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55,25</w:t>
            </w:r>
          </w:p>
        </w:tc>
        <w:tc>
          <w:tcPr>
            <w:tcW w:type="dxa" w:w="3200"/>
          </w:tcPr>
          <w:p>
            <w:pPr>
              <w:spacing w:before="0" w:after="40"/>
              <w:jc w:val="right"/>
            </w:pPr>
            <w:r>
              <w:rPr>
                <w:rFonts w:ascii="Times New Roman" w:hAnsi="Times New Roman" w:eastAsia="Times New Roman" w:cs="Times New Roman"/>
                <w:b w:val="0"/>
                <w:i w:val="0"/>
                <w:caps w:val="0"/>
                <w:color w:val="000000"/>
                <w:sz w:val="24"/>
              </w:rPr>
              <w:t>123.262.500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0,04</w:t>
            </w:r>
          </w:p>
        </w:tc>
        <w:tc>
          <w:tcPr>
            <w:tcW w:type="dxa" w:w="3200"/>
          </w:tcPr>
          <w:p>
            <w:pPr>
              <w:spacing w:before="0" w:after="40"/>
              <w:jc w:val="right"/>
            </w:pPr>
            <w:r>
              <w:rPr>
                <w:rFonts w:ascii="Times New Roman" w:hAnsi="Times New Roman" w:eastAsia="Times New Roman" w:cs="Times New Roman"/>
                <w:b w:val="0"/>
                <w:i w:val="0"/>
                <w:caps w:val="0"/>
                <w:color w:val="000000"/>
                <w:sz w:val="24"/>
              </w:rPr>
              <w:t>116.000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0,29</w:t>
            </w:r>
          </w:p>
        </w:tc>
        <w:tc>
          <w:tcPr>
            <w:tcW w:type="dxa" w:w="3200"/>
          </w:tcPr>
          <w:p>
            <w:pPr>
              <w:spacing w:before="0" w:after="40"/>
              <w:jc w:val="right"/>
            </w:pPr>
            <w:r>
              <w:rPr>
                <w:rFonts w:ascii="Times New Roman" w:hAnsi="Times New Roman" w:eastAsia="Times New Roman" w:cs="Times New Roman"/>
                <w:b w:val="0"/>
                <w:i w:val="0"/>
                <w:caps w:val="0"/>
                <w:color w:val="000000"/>
                <w:sz w:val="24"/>
              </w:rPr>
              <w:t>478.500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653,57</w:t>
            </w:r>
          </w:p>
        </w:tc>
        <w:tc>
          <w:tcPr>
            <w:tcW w:type="dxa" w:w="3200"/>
          </w:tcPr>
          <w:p>
            <w:pPr>
              <w:spacing w:before="0" w:after="40"/>
              <w:jc w:val="right"/>
            </w:pPr>
            <w:r>
              <w:rPr>
                <w:rFonts w:ascii="Times New Roman" w:hAnsi="Times New Roman" w:eastAsia="Times New Roman" w:cs="Times New Roman"/>
                <w:b w:val="0"/>
                <w:i w:val="0"/>
                <w:caps w:val="0"/>
                <w:color w:val="000000"/>
                <w:sz w:val="24"/>
              </w:rPr>
              <w:t>1.414.558.741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598,32</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3,43</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1.197.210.123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111.588.986</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111.661.739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111.500.852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160.887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1,00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15.000.000,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126.500.852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1.347.210.123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1.347.049.236</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160.887</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402.950.764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55,25, 24,75 (69,1%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80,00 MD, lương của toàn bộ ngày huy động cả dự án là 1.470.379.773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4.1.2</w:t>
            </w:r>
          </w:p>
        </w:tc>
        <w:tc>
          <w:tcPr>
            <w:tcW w:type="dxa" w:w="34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13,7%</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4.1.3</w:t>
            </w:r>
          </w:p>
        </w:tc>
        <w:tc>
          <w:tcPr>
            <w:tcW w:type="dxa" w:w="34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13,7%</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11 gói: 1.1.1, 1.2.1, 2.2.1, 2.2.3, 3.2.1, 3.2.2, 4.2.1, 4.2.2, 4.3.1, 4.3.3, 4.3.4. Các gói khảo sát và kiến trúc trên đường găng hoàn thành đúng kế hoạch, gồm khảo sát nghiệp vụ, khảo sát Main System, đặc tả chức năng đặt hàng và kiến trúc hệ thống.</w:t>
      </w:r>
    </w:p>
    <w:p>
      <w:pPr>
        <w:spacing w:before="0" w:after="100" w:line="300" w:lineRule="auto"/>
        <w:jc w:val="both"/>
      </w:pPr>
      <w:r>
        <w:rPr>
          <w:rFonts w:ascii="Times New Roman" w:hAnsi="Times New Roman" w:eastAsia="Times New Roman" w:cs="Times New Roman"/>
          <w:b w:val="0"/>
          <w:i w:val="0"/>
          <w:caps w:val="0"/>
          <w:color w:val="000000"/>
          <w:sz w:val="26"/>
        </w:rPr>
        <w:t>Sản phẩm trình diễn cuối sprint gồm Báo cáo khảo sát, đặc tả chức năng ba phân hệ chức năng, kiến trúc hệ thống và khung ứng dụng phía máy chủ, giao diện. Mốc M0 đạt ngày 18/03/2027, đúng hạn.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9,83</w:t>
            </w:r>
          </w:p>
        </w:tc>
        <w:tc>
          <w:tcPr>
            <w:tcW w:type="dxa" w:w="1300"/>
          </w:tcPr>
          <w:p>
            <w:pPr>
              <w:spacing w:before="0" w:after="40"/>
              <w:jc w:val="right"/>
            </w:pPr>
            <w:r>
              <w:rPr>
                <w:rFonts w:ascii="Times New Roman" w:hAnsi="Times New Roman" w:eastAsia="Times New Roman" w:cs="Times New Roman"/>
                <w:b w:val="0"/>
                <w:i w:val="0"/>
                <w:caps w:val="0"/>
                <w:color w:val="000000"/>
                <w:sz w:val="24"/>
              </w:rPr>
              <w:t>10,00</w:t>
            </w:r>
          </w:p>
        </w:tc>
        <w:tc>
          <w:tcPr>
            <w:tcW w:type="dxa" w:w="1300"/>
          </w:tcPr>
          <w:p>
            <w:pPr>
              <w:spacing w:before="0" w:after="40"/>
              <w:jc w:val="right"/>
            </w:pPr>
            <w:r>
              <w:rPr>
                <w:rFonts w:ascii="Times New Roman" w:hAnsi="Times New Roman" w:eastAsia="Times New Roman" w:cs="Times New Roman"/>
                <w:b w:val="0"/>
                <w:i w:val="0"/>
                <w:caps w:val="0"/>
                <w:color w:val="000000"/>
                <w:sz w:val="24"/>
              </w:rPr>
              <w:t>0,17</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0,00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9,00</w:t>
            </w:r>
          </w:p>
        </w:tc>
        <w:tc>
          <w:tcPr>
            <w:tcW w:type="dxa" w:w="1300"/>
          </w:tcPr>
          <w:p>
            <w:pPr>
              <w:spacing w:before="0" w:after="40"/>
              <w:jc w:val="right"/>
            </w:pPr>
            <w:r>
              <w:rPr>
                <w:rFonts w:ascii="Times New Roman" w:hAnsi="Times New Roman" w:eastAsia="Times New Roman" w:cs="Times New Roman"/>
                <w:b w:val="0"/>
                <w:i w:val="0"/>
                <w:caps w:val="0"/>
                <w:color w:val="000000"/>
                <w:sz w:val="24"/>
              </w:rPr>
              <w:t>8,50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1,50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6,00</w:t>
            </w:r>
          </w:p>
        </w:tc>
        <w:tc>
          <w:tcPr>
            <w:tcW w:type="dxa" w:w="1300"/>
          </w:tcPr>
          <w:p>
            <w:pPr>
              <w:spacing w:before="0" w:after="40"/>
              <w:jc w:val="right"/>
            </w:pPr>
            <w:r>
              <w:rPr>
                <w:rFonts w:ascii="Times New Roman" w:hAnsi="Times New Roman" w:eastAsia="Times New Roman" w:cs="Times New Roman"/>
                <w:b w:val="0"/>
                <w:i w:val="0"/>
                <w:caps w:val="0"/>
                <w:color w:val="000000"/>
                <w:sz w:val="24"/>
              </w:rPr>
              <w:t>6,00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4,00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10,00</w:t>
            </w:r>
          </w:p>
        </w:tc>
        <w:tc>
          <w:tcPr>
            <w:tcW w:type="dxa" w:w="1300"/>
          </w:tcPr>
          <w:p>
            <w:pPr>
              <w:spacing w:before="0" w:after="40"/>
              <w:jc w:val="right"/>
            </w:pPr>
            <w:r>
              <w:rPr>
                <w:rFonts w:ascii="Times New Roman" w:hAnsi="Times New Roman" w:eastAsia="Times New Roman" w:cs="Times New Roman"/>
                <w:b w:val="0"/>
                <w:i w:val="0"/>
                <w:caps w:val="0"/>
                <w:color w:val="000000"/>
                <w:sz w:val="24"/>
              </w:rPr>
              <w:t>10,00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0,00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9,67</w:t>
            </w:r>
          </w:p>
        </w:tc>
        <w:tc>
          <w:tcPr>
            <w:tcW w:type="dxa" w:w="1300"/>
          </w:tcPr>
          <w:p>
            <w:pPr>
              <w:spacing w:before="0" w:after="40"/>
              <w:jc w:val="right"/>
            </w:pPr>
            <w:r>
              <w:rPr>
                <w:rFonts w:ascii="Times New Roman" w:hAnsi="Times New Roman" w:eastAsia="Times New Roman" w:cs="Times New Roman"/>
                <w:b w:val="0"/>
                <w:i w:val="0"/>
                <w:caps w:val="0"/>
                <w:color w:val="000000"/>
                <w:sz w:val="24"/>
              </w:rPr>
              <w:t>9,75</w:t>
            </w:r>
          </w:p>
        </w:tc>
        <w:tc>
          <w:tcPr>
            <w:tcW w:type="dxa" w:w="1300"/>
          </w:tcPr>
          <w:p>
            <w:pPr>
              <w:spacing w:before="0" w:after="40"/>
              <w:jc w:val="right"/>
            </w:pPr>
            <w:r>
              <w:rPr>
                <w:rFonts w:ascii="Times New Roman" w:hAnsi="Times New Roman" w:eastAsia="Times New Roman" w:cs="Times New Roman"/>
                <w:b w:val="0"/>
                <w:i w:val="0"/>
                <w:caps w:val="0"/>
                <w:color w:val="000000"/>
                <w:sz w:val="24"/>
              </w:rPr>
              <w:t>0,08</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3,00</w:t>
            </w:r>
          </w:p>
        </w:tc>
        <w:tc>
          <w:tcPr>
            <w:tcW w:type="dxa" w:w="1300"/>
          </w:tcPr>
          <w:p>
            <w:pPr>
              <w:spacing w:before="0" w:after="40"/>
              <w:jc w:val="right"/>
            </w:pPr>
            <w:r>
              <w:rPr>
                <w:rFonts w:ascii="Times New Roman" w:hAnsi="Times New Roman" w:eastAsia="Times New Roman" w:cs="Times New Roman"/>
                <w:b w:val="0"/>
                <w:i w:val="0"/>
                <w:caps w:val="0"/>
                <w:color w:val="000000"/>
                <w:sz w:val="24"/>
              </w:rPr>
              <w:t>3,00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10,00</w:t>
            </w:r>
          </w:p>
        </w:tc>
        <w:tc>
          <w:tcPr>
            <w:tcW w:type="dxa" w:w="1500"/>
          </w:tcPr>
          <w:p>
            <w:pPr>
              <w:spacing w:before="0" w:after="40"/>
              <w:jc w:val="right"/>
            </w:pPr>
            <w:r>
              <w:rPr>
                <w:rFonts w:ascii="Times New Roman" w:hAnsi="Times New Roman" w:eastAsia="Times New Roman" w:cs="Times New Roman"/>
                <w:b w:val="0"/>
                <w:i w:val="0"/>
                <w:caps w:val="0"/>
                <w:color w:val="000000"/>
                <w:sz w:val="24"/>
              </w:rPr>
              <w:t>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55,50</w:t>
            </w:r>
          </w:p>
        </w:tc>
        <w:tc>
          <w:tcPr>
            <w:tcW w:type="dxa" w:w="1300"/>
          </w:tcPr>
          <w:p>
            <w:pPr>
              <w:spacing w:before="0" w:after="40"/>
              <w:jc w:val="right"/>
            </w:pPr>
            <w:r>
              <w:rPr>
                <w:rFonts w:ascii="Times New Roman" w:hAnsi="Times New Roman" w:eastAsia="Times New Roman" w:cs="Times New Roman"/>
                <w:b w:val="0"/>
                <w:i w:val="0"/>
                <w:caps w:val="0"/>
                <w:color w:val="000000"/>
                <w:sz w:val="24"/>
              </w:rPr>
              <w:t>55,25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80,00</w:t>
            </w:r>
          </w:p>
        </w:tc>
        <w:tc>
          <w:tcPr>
            <w:tcW w:type="dxa" w:w="1500"/>
          </w:tcPr>
          <w:p>
            <w:pPr>
              <w:spacing w:before="0" w:after="40"/>
              <w:jc w:val="right"/>
            </w:pPr>
            <w:r>
              <w:rPr>
                <w:rFonts w:ascii="Times New Roman" w:hAnsi="Times New Roman" w:eastAsia="Times New Roman" w:cs="Times New Roman"/>
                <w:b w:val="0"/>
                <w:i w:val="0"/>
                <w:caps w:val="0"/>
                <w:color w:val="000000"/>
                <w:sz w:val="24"/>
              </w:rPr>
              <w:t>24,75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ưu tiên cao 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VD01</w:t>
            </w:r>
          </w:p>
        </w:tc>
        <w:tc>
          <w:tcPr>
            <w:tcW w:type="dxa" w:w="3100"/>
          </w:tcPr>
          <w:p>
            <w:pPr>
              <w:spacing w:before="0" w:after="40"/>
              <w:jc w:val="left"/>
            </w:pPr>
            <w:r>
              <w:rPr>
                <w:rFonts w:ascii="Times New Roman" w:hAnsi="Times New Roman" w:eastAsia="Times New Roman" w:cs="Times New Roman"/>
                <w:b w:val="0"/>
                <w:i w:val="0"/>
                <w:caps w:val="0"/>
                <w:color w:val="000000"/>
                <w:sz w:val="24"/>
              </w:rPr>
              <w:t>Gói 2.2.3 nghiên cứu hành vi người dùng cần phỏng vấn bổ sung nhóm khách hàng mua qua thiết bị di động theo đề nghị của Chủ sản phẩm, phát sinh thêm công so với kế hoạch</w:t>
            </w:r>
          </w:p>
        </w:tc>
        <w:tc>
          <w:tcPr>
            <w:tcW w:type="dxa" w:w="9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26/03/2027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VD02</w:t>
            </w:r>
          </w:p>
        </w:tc>
        <w:tc>
          <w:tcPr>
            <w:tcW w:type="dxa" w:w="3100"/>
          </w:tcPr>
          <w:p>
            <w:pPr>
              <w:spacing w:before="0" w:after="40"/>
              <w:jc w:val="left"/>
            </w:pPr>
            <w:r>
              <w:rPr>
                <w:rFonts w:ascii="Times New Roman" w:hAnsi="Times New Roman" w:eastAsia="Times New Roman" w:cs="Times New Roman"/>
                <w:b w:val="0"/>
                <w:i w:val="0"/>
                <w:caps w:val="0"/>
                <w:color w:val="000000"/>
                <w:sz w:val="24"/>
              </w:rPr>
              <w:t>Gói quản lý dự án dàn trải 4.1.2 và 4.1.3 của phân hệ tích hợp hệ thống chưa ghi công trong S1 do trưởng nhóm tập trung cho họp khởi động, đặc tả 1.2.1 và kế hoạch quản lý dự án 3.1.1</w:t>
            </w:r>
          </w:p>
        </w:tc>
        <w:tc>
          <w:tcPr>
            <w:tcW w:type="dxa" w:w="9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09/04/2027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HD01</w:t>
            </w:r>
          </w:p>
        </w:tc>
        <w:tc>
          <w:tcPr>
            <w:tcW w:type="dxa" w:w="800"/>
          </w:tcPr>
          <w:p>
            <w:pPr>
              <w:spacing w:before="0" w:after="40"/>
              <w:jc w:val="center"/>
            </w:pPr>
            <w:r>
              <w:rPr>
                <w:rFonts w:ascii="Times New Roman" w:hAnsi="Times New Roman" w:eastAsia="Times New Roman" w:cs="Times New Roman"/>
                <w:b w:val="0"/>
                <w:i w:val="0"/>
                <w:caps w:val="0"/>
                <w:color w:val="000000"/>
                <w:sz w:val="24"/>
              </w:rPr>
              <w:t>VD01</w:t>
            </w:r>
          </w:p>
        </w:tc>
        <w:tc>
          <w:tcPr>
            <w:tcW w:type="dxa" w:w="3500"/>
          </w:tcPr>
          <w:p>
            <w:pPr>
              <w:spacing w:before="0" w:after="40"/>
              <w:jc w:val="left"/>
            </w:pPr>
            <w:r>
              <w:rPr>
                <w:rFonts w:ascii="Times New Roman" w:hAnsi="Times New Roman" w:eastAsia="Times New Roman" w:cs="Times New Roman"/>
                <w:b w:val="0"/>
                <w:i w:val="0"/>
                <w:caps w:val="0"/>
                <w:color w:val="000000"/>
                <w:sz w:val="24"/>
              </w:rPr>
              <w:t>Thống nhất với Chủ sản phẩm danh sách người được phỏng vấn bổ sung và giới hạn trong khung giao diện đã có</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23/03/2027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HD02</w:t>
            </w:r>
          </w:p>
        </w:tc>
        <w:tc>
          <w:tcPr>
            <w:tcW w:type="dxa" w:w="800"/>
          </w:tcPr>
          <w:p>
            <w:pPr>
              <w:spacing w:before="0" w:after="40"/>
              <w:jc w:val="center"/>
            </w:pPr>
            <w:r>
              <w:rPr>
                <w:rFonts w:ascii="Times New Roman" w:hAnsi="Times New Roman" w:eastAsia="Times New Roman" w:cs="Times New Roman"/>
                <w:b w:val="0"/>
                <w:i w:val="0"/>
                <w:caps w:val="0"/>
                <w:color w:val="000000"/>
                <w:sz w:val="24"/>
              </w:rPr>
              <w:t>VD01</w:t>
            </w:r>
          </w:p>
        </w:tc>
        <w:tc>
          <w:tcPr>
            <w:tcW w:type="dxa" w:w="3500"/>
          </w:tcPr>
          <w:p>
            <w:pPr>
              <w:spacing w:before="0" w:after="40"/>
              <w:jc w:val="left"/>
            </w:pPr>
            <w:r>
              <w:rPr>
                <w:rFonts w:ascii="Times New Roman" w:hAnsi="Times New Roman" w:eastAsia="Times New Roman" w:cs="Times New Roman"/>
                <w:b w:val="0"/>
                <w:i w:val="0"/>
                <w:caps w:val="0"/>
                <w:color w:val="000000"/>
                <w:sz w:val="24"/>
              </w:rPr>
              <w:t>Bổ sung kết quả phỏng vấn vào báo cáo nghiên cứu hành vi người dùng</w:t>
            </w:r>
          </w:p>
        </w:tc>
        <w:tc>
          <w:tcPr>
            <w:tcW w:type="dxa" w:w="17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25/03/2027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HD03</w:t>
            </w:r>
          </w:p>
        </w:tc>
        <w:tc>
          <w:tcPr>
            <w:tcW w:type="dxa" w:w="800"/>
          </w:tcPr>
          <w:p>
            <w:pPr>
              <w:spacing w:before="0" w:after="40"/>
              <w:jc w:val="center"/>
            </w:pPr>
            <w:r>
              <w:rPr>
                <w:rFonts w:ascii="Times New Roman" w:hAnsi="Times New Roman" w:eastAsia="Times New Roman" w:cs="Times New Roman"/>
                <w:b w:val="0"/>
                <w:i w:val="0"/>
                <w:caps w:val="0"/>
                <w:color w:val="000000"/>
                <w:sz w:val="24"/>
              </w:rPr>
              <w:t>VD02</w:t>
            </w:r>
          </w:p>
        </w:tc>
        <w:tc>
          <w:tcPr>
            <w:tcW w:type="dxa" w:w="3500"/>
          </w:tcPr>
          <w:p>
            <w:pPr>
              <w:spacing w:before="0" w:after="40"/>
              <w:jc w:val="left"/>
            </w:pPr>
            <w:r>
              <w:rPr>
                <w:rFonts w:ascii="Times New Roman" w:hAnsi="Times New Roman" w:eastAsia="Times New Roman" w:cs="Times New Roman"/>
                <w:b w:val="0"/>
                <w:i w:val="0"/>
                <w:caps w:val="0"/>
                <w:color w:val="000000"/>
                <w:sz w:val="24"/>
              </w:rPr>
              <w:t>Bố trí thời gian quản lý rủi ro, cấu hình phần phân hệ tích hợp trong tuần đầu S2 sau khi gửi dự thảo kế hoạch 3.1.1</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07/04/2027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4.1.2 Quản lý rủi ro, vấn đề và yêu cầu thay đổi đặc tả, phần phân hệ tích hợp hệ thống: hoàn thành 0%, kế hoạch 13,7%</w:t>
            </w:r>
          </w:p>
        </w:tc>
        <w:tc>
          <w:tcPr>
            <w:tcW w:type="dxa" w:w="1900"/>
          </w:tcPr>
          <w:p>
            <w:pPr>
              <w:spacing w:before="0" w:after="40"/>
              <w:jc w:val="left"/>
            </w:pPr>
            <w:r>
              <w:rPr>
                <w:rFonts w:ascii="Times New Roman" w:hAnsi="Times New Roman" w:eastAsia="Times New Roman" w:cs="Times New Roman"/>
                <w:b w:val="0"/>
                <w:i w:val="0"/>
                <w:caps w:val="0"/>
                <w:color w:val="000000"/>
                <w:sz w:val="24"/>
              </w:rPr>
              <w:t>VD02</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4.1.3 Quản lý cấu hình, phiên bản tài liệu, hồ sơ dự án, hồ sơ nghiệm thu và thanh toán, phần phân hệ tích hợp hệ thống: hoàn thành 0%, kế hoạch 13,7%</w:t>
            </w:r>
          </w:p>
        </w:tc>
        <w:tc>
          <w:tcPr>
            <w:tcW w:type="dxa" w:w="1900"/>
          </w:tcPr>
          <w:p>
            <w:pPr>
              <w:spacing w:before="0" w:after="40"/>
              <w:jc w:val="left"/>
            </w:pPr>
            <w:r>
              <w:rPr>
                <w:rFonts w:ascii="Times New Roman" w:hAnsi="Times New Roman" w:eastAsia="Times New Roman" w:cs="Times New Roman"/>
                <w:b w:val="0"/>
                <w:i w:val="0"/>
                <w:caps w:val="0"/>
                <w:color w:val="000000"/>
                <w:sz w:val="24"/>
              </w:rPr>
              <w:t>VD02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2 vấn đề, đã đóng 1, còn mở 1, không có vấn đề quá hạn. Vấn đề VD01 về phần phỏng vấn bổ sung của gói nghiên cứu hành vi người dùng đã đóng trong kỳ, nằm trong phạm vi gói, không thay đổi đặc tả.</w:t>
      </w:r>
    </w:p>
    <w:p>
      <w:pPr>
        <w:spacing w:before="0" w:after="100" w:line="300" w:lineRule="auto"/>
        <w:jc w:val="both"/>
      </w:pPr>
      <w:r>
        <w:rPr>
          <w:rFonts w:ascii="Times New Roman" w:hAnsi="Times New Roman" w:eastAsia="Times New Roman" w:cs="Times New Roman"/>
          <w:b w:val="0"/>
          <w:i w:val="0"/>
          <w:caps w:val="0"/>
          <w:color w:val="000000"/>
          <w:sz w:val="26"/>
        </w:rPr>
        <w:t>Vấn đề VD02 ghi nhận các gói quản lý dự án dàn trải của phân hệ tích hợp hệ thống chưa ghi công do trưởng nhóm tập trung cho khởi động và kế hoạch quản lý dự án. Hành động bố trí lại thời gian có hạn 07/04/2027. Các tín hiệu gói chậm đều đã có vấn đề tương ứng trong sổ. Rủi ro RR02 tiếp tục được theo dõi theo dấu hiệu của sổ rủi ro, chưa xuất hiện dấu hiệu.</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18/06/2027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Không có yêu cầu thay đổi trong kỳ.</w:t>
      </w: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S2: Cấu trúc, cấu hình Selling DB và tạo lập Selling DB trên môi trường phát triển, sơ đồ phân cấp menu, thiết kế giao diện ưu tiên ba nhóm chức năng, thư viện thành phần giao diện, môi trường phát triển và kiểm thử có quy trình triển khai tự động, đặc tả use case đợt đầu của ba phân hệ chức năng, thiết kế chi tiết đặt hàng. Kế hoạch kỳ tới là 76,00 MD trên quỹ 100,00 MD.</w:t>
      </w:r>
    </w:p>
    <w:p>
      <w:pPr>
        <w:spacing w:before="0" w:after="100" w:line="300" w:lineRule="auto"/>
        <w:jc w:val="both"/>
      </w:pPr>
      <w:r>
        <w:rPr>
          <w:rFonts w:ascii="Times New Roman" w:hAnsi="Times New Roman" w:eastAsia="Times New Roman" w:cs="Times New Roman"/>
          <w:b w:val="0"/>
          <w:i w:val="0"/>
          <w:caps w:val="0"/>
          <w:color w:val="000000"/>
          <w:sz w:val="26"/>
        </w:rPr>
        <w:t>Gói ưu tiên đầu kỳ là gói găng 4.2.3 cấu trúc cơ sở dữ liệu Selling DB (từ 01/04/2027 đến 07/04/2027) và hai gói quản lý dàn trải chậm 4.1.2, 4.1.3 của vấn đề VD02, hành động HD03 bố trí lại thời gian quản lý rủi ro, cấu hình có hạn 07/04/2027.</w:t>
      </w:r>
    </w:p>
    <w:p>
      <w:pPr>
        <w:spacing w:before="0" w:after="100" w:line="300" w:lineRule="auto"/>
        <w:jc w:val="both"/>
      </w:pPr>
      <w:r>
        <w:rPr>
          <w:rFonts w:ascii="Times New Roman" w:hAnsi="Times New Roman" w:eastAsia="Times New Roman" w:cs="Times New Roman"/>
          <w:b w:val="0"/>
          <w:i w:val="0"/>
          <w:caps w:val="0"/>
          <w:color w:val="000000"/>
          <w:sz w:val="26"/>
        </w:rPr>
        <w:t>Mốc M1 có hạn 14/04/2027, căn cứ gói 3.1.2. Nhóm đề nghị Chủ đầu tư bố trí xác nhận kế hoạch quản lý dự án đúng hạn và chuẩn bị tài liệu đặc tả giao diện trao đổi dữ liệu của Main System theo cam kết hạn 14/04/2027.</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2026-10-25T17:46:47Z</dcterms:created>
  <dcterms:modified xsi:type="dcterms:W3CDTF">2026-10-25T17:46:47Z</dcterms:modified>
  <cp:category/>
</cp:coreProperties>
</file>