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S3, ngày báo cáo 06/05/2027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06/05/2027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33/83 ngày làm việc (39,8%)</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257,49/657,00 MD (39,2%)</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0,94</w:t>
            </w:r>
          </w:p>
        </w:tc>
        <w:tc>
          <w:tcPr>
            <w:tcW w:type="dxa" w:w="1700"/>
          </w:tcPr>
          <w:p>
            <w:pPr>
              <w:spacing w:before="0" w:after="40"/>
              <w:jc w:val="left"/>
            </w:pPr>
            <w:r>
              <w:rPr>
                <w:rFonts w:ascii="Times New Roman" w:hAnsi="Times New Roman" w:eastAsia="Times New Roman" w:cs="Times New Roman"/>
                <w:b w:val="0"/>
                <w:i w:val="0"/>
                <w:caps w:val="0"/>
                <w:color w:val="000000"/>
                <w:sz w:val="24"/>
              </w:rPr>
              <w:t>Vàng</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260,50/336,00 MD (77,5%)</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05/07/2027 (kế hoạch 01/07/2027, cut over 01/07/2027)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Vàng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S3 ngày 06/05/2027, dự án ở trạng thái chung Vàng. SPI đạt 0,94 ở mức Vàng, CPI theo công đạt 0,99 ở mức Xanh, CPI theo chi phí thực đạt 0,99 ở mức Xanh. Giá trị thu được lũy kế 257,49 MD so với kế hoạch 273,50 MD, công thực tế 260,50 MD, khối lượng hoàn thành đạt 39,2% toàn dự án.</w:t>
      </w:r>
    </w:p>
    <w:p>
      <w:pPr>
        <w:spacing w:before="0" w:after="100" w:line="300" w:lineRule="auto"/>
        <w:jc w:val="both"/>
      </w:pPr>
      <w:r>
        <w:rPr>
          <w:rFonts w:ascii="Times New Roman" w:hAnsi="Times New Roman" w:eastAsia="Times New Roman" w:cs="Times New Roman"/>
          <w:b w:val="0"/>
          <w:i w:val="0"/>
          <w:caps w:val="0"/>
          <w:color w:val="000000"/>
          <w:sz w:val="26"/>
        </w:rPr>
        <w:t>Nguyên nhân chính của SPI dưới ngưỡng là rủi ro RR02 đã xảy ra: tài liệu đặc tả giao diện Main System đến muộn so với cam kết CK1, gói đặc tả giao diện tích hợp và gói găng thiết kế tích hợp bắt đầu muộn. Chuỗi thiết kế chi tiết chậm từ kỳ trước làm các gói lập trình giỏ hàng, đổi trả, theo dõi đơn hàng và tìm kiếm bắt đầu muộn. Ngày hoàn thành dự báo 05/07/2027, muộn hơn ngày cut over 01/07/2027, TCPI 1,01.</w:t>
      </w:r>
    </w:p>
    <w:p>
      <w:pPr>
        <w:spacing w:before="0" w:after="100" w:line="300" w:lineRule="auto"/>
        <w:jc w:val="both"/>
      </w:pPr>
      <w:r>
        <w:rPr>
          <w:rFonts w:ascii="Times New Roman" w:hAnsi="Times New Roman" w:eastAsia="Times New Roman" w:cs="Times New Roman"/>
          <w:b w:val="0"/>
          <w:i w:val="0"/>
          <w:caps w:val="0"/>
          <w:color w:val="000000"/>
          <w:sz w:val="26"/>
        </w:rPr>
        <w:t>Tỷ lệ sử dụng quỹ huy động đạt 77,5%, còn 75,50 MD sẵn sàng không ghi công trên 336,00 MD huy động, phần lớn là thời gian chờ gói tiền nhiệm của kỹ sư phía máy chủ và kỹ sư kiểm thử. Với cách trả theo công sức (MD công việc) phần này không phát sinh chi phí lương, nhóm dùng quỹ sẵn sàng này để làm bù các gói chậm trong kỳ tới. Chi phí khác đã chi lũy kế 30.000.000 đồng, EAC theo chi phí thực 1.351,36 triệu đồng.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657,00</w:t>
            </w:r>
          </w:p>
        </w:tc>
        <w:tc>
          <w:tcPr>
            <w:tcW w:type="dxa" w:w="3200"/>
          </w:tcPr>
          <w:p>
            <w:pPr>
              <w:spacing w:before="0" w:after="40"/>
              <w:jc w:val="right"/>
            </w:pPr>
            <w:r>
              <w:rPr>
                <w:rFonts w:ascii="Times New Roman" w:hAnsi="Times New Roman" w:eastAsia="Times New Roman" w:cs="Times New Roman"/>
                <w:b w:val="0"/>
                <w:i w:val="0"/>
                <w:caps w:val="0"/>
                <w:color w:val="000000"/>
                <w:sz w:val="24"/>
              </w:rPr>
              <w:t>1.420.050.000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273,50</w:t>
            </w:r>
          </w:p>
        </w:tc>
        <w:tc>
          <w:tcPr>
            <w:tcW w:type="dxa" w:w="3200"/>
          </w:tcPr>
          <w:p>
            <w:pPr>
              <w:spacing w:before="0" w:after="40"/>
              <w:jc w:val="right"/>
            </w:pPr>
            <w:r>
              <w:rPr>
                <w:rFonts w:ascii="Times New Roman" w:hAnsi="Times New Roman" w:eastAsia="Times New Roman" w:cs="Times New Roman"/>
                <w:b w:val="0"/>
                <w:i w:val="0"/>
                <w:caps w:val="0"/>
                <w:color w:val="000000"/>
                <w:sz w:val="24"/>
              </w:rPr>
              <w:t>595.675.000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257,49</w:t>
            </w:r>
          </w:p>
        </w:tc>
        <w:tc>
          <w:tcPr>
            <w:tcW w:type="dxa" w:w="3200"/>
          </w:tcPr>
          <w:p>
            <w:pPr>
              <w:spacing w:before="0" w:after="40"/>
              <w:jc w:val="right"/>
            </w:pPr>
            <w:r>
              <w:rPr>
                <w:rFonts w:ascii="Times New Roman" w:hAnsi="Times New Roman" w:eastAsia="Times New Roman" w:cs="Times New Roman"/>
                <w:b w:val="0"/>
                <w:i w:val="0"/>
                <w:caps w:val="0"/>
                <w:color w:val="000000"/>
                <w:sz w:val="24"/>
              </w:rPr>
              <w:t>561.726.250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260,50</w:t>
            </w:r>
          </w:p>
        </w:tc>
        <w:tc>
          <w:tcPr>
            <w:tcW w:type="dxa" w:w="3200"/>
          </w:tcPr>
          <w:p>
            <w:pPr>
              <w:spacing w:before="0" w:after="40"/>
              <w:jc w:val="right"/>
            </w:pPr>
            <w:r>
              <w:rPr>
                <w:rFonts w:ascii="Times New Roman" w:hAnsi="Times New Roman" w:eastAsia="Times New Roman" w:cs="Times New Roman"/>
                <w:b w:val="0"/>
                <w:i w:val="0"/>
                <w:caps w:val="0"/>
                <w:color w:val="000000"/>
                <w:sz w:val="24"/>
              </w:rPr>
              <w:t>568.087.500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-16,01</w:t>
            </w:r>
          </w:p>
        </w:tc>
        <w:tc>
          <w:tcPr>
            <w:tcW w:type="dxa" w:w="3200"/>
          </w:tcPr>
          <w:p>
            <w:pPr>
              <w:spacing w:before="0" w:after="40"/>
              <w:jc w:val="right"/>
            </w:pPr>
            <w:r>
              <w:rPr>
                <w:rFonts w:ascii="Times New Roman" w:hAnsi="Times New Roman" w:eastAsia="Times New Roman" w:cs="Times New Roman"/>
                <w:b w:val="0"/>
                <w:i w:val="0"/>
                <w:caps w:val="0"/>
                <w:color w:val="000000"/>
                <w:sz w:val="24"/>
              </w:rPr>
              <w:t>âm 33.948.750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-3,01</w:t>
            </w:r>
          </w:p>
        </w:tc>
        <w:tc>
          <w:tcPr>
            <w:tcW w:type="dxa" w:w="3200"/>
          </w:tcPr>
          <w:p>
            <w:pPr>
              <w:spacing w:before="0" w:after="40"/>
              <w:jc w:val="right"/>
            </w:pPr>
            <w:r>
              <w:rPr>
                <w:rFonts w:ascii="Times New Roman" w:hAnsi="Times New Roman" w:eastAsia="Times New Roman" w:cs="Times New Roman"/>
                <w:b w:val="0"/>
                <w:i w:val="0"/>
                <w:caps w:val="0"/>
                <w:color w:val="000000"/>
                <w:sz w:val="24"/>
              </w:rPr>
              <w:t>âm 6.361.250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664,69</w:t>
            </w:r>
          </w:p>
        </w:tc>
        <w:tc>
          <w:tcPr>
            <w:tcW w:type="dxa" w:w="3200"/>
          </w:tcPr>
          <w:p>
            <w:pPr>
              <w:spacing w:before="0" w:after="40"/>
              <w:jc w:val="right"/>
            </w:pPr>
            <w:r>
              <w:rPr>
                <w:rFonts w:ascii="Times New Roman" w:hAnsi="Times New Roman" w:eastAsia="Times New Roman" w:cs="Times New Roman"/>
                <w:b w:val="0"/>
                <w:i w:val="0"/>
                <w:caps w:val="0"/>
                <w:color w:val="000000"/>
                <w:sz w:val="24"/>
              </w:rPr>
              <w:t>1.436.131.308</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404,19</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-7,69</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1,01</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1.197.210.123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513.800.418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488.240.470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492.386.080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4.145.610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0,99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30.000.000,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522.386.080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1.347.210.123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1.351.355.733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4.145.610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398.644.267</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260,50, 75,50 (77,5%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336,00 MD, lương của toàn bộ ngày huy động cả dự án là 1.470.379.773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1.3.2</w:t>
            </w:r>
          </w:p>
        </w:tc>
        <w:tc>
          <w:tcPr>
            <w:tcW w:type="dxa" w:w="3400"/>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1000"/>
          </w:tcPr>
          <w:p>
            <w:pPr>
              <w:spacing w:before="0" w:after="40"/>
              <w:jc w:val="right"/>
            </w:pPr>
            <w:r>
              <w:rPr>
                <w:rFonts w:ascii="Times New Roman" w:hAnsi="Times New Roman" w:eastAsia="Times New Roman" w:cs="Times New Roman"/>
                <w:b w:val="0"/>
                <w:i w:val="0"/>
                <w:caps w:val="0"/>
                <w:color w:val="000000"/>
                <w:sz w:val="24"/>
              </w:rPr>
              <w:t>40,0%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11/05/2027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1.3.6</w:t>
            </w:r>
          </w:p>
        </w:tc>
        <w:tc>
          <w:tcPr>
            <w:tcW w:type="dxa" w:w="3400"/>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200"/>
          </w:tcPr>
          <w:p>
            <w:pPr>
              <w:spacing w:before="0" w:after="40"/>
              <w:jc w:val="center"/>
            </w:pPr>
            <w:r>
              <w:rPr>
                <w:rFonts w:ascii="Times New Roman" w:hAnsi="Times New Roman" w:eastAsia="Times New Roman" w:cs="Times New Roman"/>
                <w:b w:val="0"/>
                <w:i w:val="0"/>
                <w:caps w:val="0"/>
                <w:color w:val="000000"/>
                <w:sz w:val="24"/>
              </w:rPr>
              <w:t>12/05/2027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2.4.5</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quản lý khách hàng</w:t>
            </w:r>
          </w:p>
        </w:tc>
        <w:tc>
          <w:tcPr>
            <w:tcW w:type="dxa" w:w="1000"/>
          </w:tcPr>
          <w:p>
            <w:pPr>
              <w:spacing w:before="0" w:after="40"/>
              <w:jc w:val="right"/>
            </w:pPr>
            <w:r>
              <w:rPr>
                <w:rFonts w:ascii="Times New Roman" w:hAnsi="Times New Roman" w:eastAsia="Times New Roman" w:cs="Times New Roman"/>
                <w:b w:val="0"/>
                <w:i w:val="0"/>
                <w:caps w:val="0"/>
                <w:color w:val="000000"/>
                <w:sz w:val="24"/>
              </w:rPr>
              <w:t>16,7%</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200"/>
          </w:tcPr>
          <w:p>
            <w:pPr>
              <w:spacing w:before="0" w:after="40"/>
              <w:jc w:val="center"/>
            </w:pPr>
            <w:r>
              <w:rPr>
                <w:rFonts w:ascii="Times New Roman" w:hAnsi="Times New Roman" w:eastAsia="Times New Roman" w:cs="Times New Roman"/>
                <w:b w:val="0"/>
                <w:i w:val="0"/>
                <w:caps w:val="0"/>
                <w:color w:val="000000"/>
                <w:sz w:val="24"/>
              </w:rPr>
              <w:t>13/05/2027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3.3.1</w:t>
            </w:r>
          </w:p>
        </w:tc>
        <w:tc>
          <w:tcPr>
            <w:tcW w:type="dxa" w:w="3400"/>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9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3.3.7</w:t>
            </w:r>
          </w:p>
        </w:tc>
        <w:tc>
          <w:tcPr>
            <w:tcW w:type="dxa" w:w="34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1000"/>
          </w:tcPr>
          <w:p>
            <w:pPr>
              <w:spacing w:before="0" w:after="40"/>
              <w:jc w:val="right"/>
            </w:pPr>
            <w:r>
              <w:rPr>
                <w:rFonts w:ascii="Times New Roman" w:hAnsi="Times New Roman" w:eastAsia="Times New Roman" w:cs="Times New Roman"/>
                <w:b w:val="0"/>
                <w:i w:val="0"/>
                <w:caps w:val="0"/>
                <w:color w:val="000000"/>
                <w:sz w:val="24"/>
              </w:rPr>
              <w:t>66,7%</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9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3.3.8</w:t>
            </w:r>
          </w:p>
        </w:tc>
        <w:tc>
          <w:tcPr>
            <w:tcW w:type="dxa" w:w="3400"/>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63,0%</w:t>
            </w:r>
          </w:p>
        </w:tc>
        <w:tc>
          <w:tcPr>
            <w:tcW w:type="dxa" w:w="19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3.3.10</w:t>
            </w:r>
          </w:p>
        </w:tc>
        <w:tc>
          <w:tcPr>
            <w:tcW w:type="dxa" w:w="3400"/>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1000"/>
          </w:tcPr>
          <w:p>
            <w:pPr>
              <w:spacing w:before="0" w:after="40"/>
              <w:jc w:val="right"/>
            </w:pPr>
            <w:r>
              <w:rPr>
                <w:rFonts w:ascii="Times New Roman" w:hAnsi="Times New Roman" w:eastAsia="Times New Roman" w:cs="Times New Roman"/>
                <w:b w:val="0"/>
                <w:i w:val="0"/>
                <w:caps w:val="0"/>
                <w:color w:val="000000"/>
                <w:sz w:val="24"/>
              </w:rPr>
              <w:t>80,0%</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9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200"/>
          </w:tcPr>
          <w:p>
            <w:pPr>
              <w:spacing w:before="0" w:after="40"/>
              <w:jc w:val="center"/>
            </w:pPr>
            <w:r>
              <w:rPr>
                <w:rFonts w:ascii="Times New Roman" w:hAnsi="Times New Roman" w:eastAsia="Times New Roman" w:cs="Times New Roman"/>
                <w:b w:val="0"/>
                <w:i w:val="0"/>
                <w:caps w:val="0"/>
                <w:color w:val="000000"/>
                <w:sz w:val="24"/>
              </w:rPr>
              <w:t>07/05/2027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4.1.3</w:t>
            </w:r>
          </w:p>
        </w:tc>
        <w:tc>
          <w:tcPr>
            <w:tcW w:type="dxa" w:w="34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45,2%</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4.2.7</w:t>
            </w:r>
          </w:p>
        </w:tc>
        <w:tc>
          <w:tcPr>
            <w:tcW w:type="dxa" w:w="3400"/>
          </w:tcPr>
          <w:p>
            <w:pPr>
              <w:spacing w:before="0" w:after="40"/>
              <w:jc w:val="left"/>
            </w:pPr>
            <w:r>
              <w:rPr>
                <w:rFonts w:ascii="Times New Roman" w:hAnsi="Times New Roman" w:eastAsia="Times New Roman" w:cs="Times New Roman"/>
                <w:b w:val="0"/>
                <w:i w:val="0"/>
                <w:caps w:val="0"/>
                <w:color w:val="000000"/>
                <w:sz w:val="24"/>
              </w:rPr>
              <w:t>Thiết kế tích hợp gồm ánh xạ dữ liệu, xử lý lỗi và gửi lại</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75,0%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04/05/2027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4.4.1</w:t>
            </w:r>
          </w:p>
        </w:tc>
        <w:tc>
          <w:tcPr>
            <w:tcW w:type="dxa" w:w="3400"/>
          </w:tcPr>
          <w:p>
            <w:pPr>
              <w:spacing w:before="0" w:after="40"/>
              <w:jc w:val="left"/>
            </w:pPr>
            <w:r>
              <w:rPr>
                <w:rFonts w:ascii="Times New Roman" w:hAnsi="Times New Roman" w:eastAsia="Times New Roman" w:cs="Times New Roman"/>
                <w:b w:val="0"/>
                <w:i w:val="0"/>
                <w:caps w:val="0"/>
                <w:color w:val="000000"/>
                <w:sz w:val="24"/>
              </w:rPr>
              <w:t>Dịch vụ giả lập Main System và dữ liệu kiểm thử tích hợp</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4.4.2</w:t>
            </w:r>
          </w:p>
        </w:tc>
        <w:tc>
          <w:tcPr>
            <w:tcW w:type="dxa" w:w="3400"/>
          </w:tcPr>
          <w:p>
            <w:pPr>
              <w:spacing w:before="0" w:after="40"/>
              <w:jc w:val="left"/>
            </w:pPr>
            <w:r>
              <w:rPr>
                <w:rFonts w:ascii="Times New Roman" w:hAnsi="Times New Roman" w:eastAsia="Times New Roman" w:cs="Times New Roman"/>
                <w:b w:val="0"/>
                <w:i w:val="0"/>
                <w:caps w:val="0"/>
                <w:color w:val="000000"/>
                <w:sz w:val="24"/>
              </w:rPr>
              <w:t>Kịch bản kiểm thử tích hợp với Main System</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58,0%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200"/>
          </w:tcPr>
          <w:p>
            <w:pPr>
              <w:spacing w:before="0" w:after="40"/>
              <w:jc w:val="center"/>
            </w:pPr>
            <w:r>
              <w:rPr>
                <w:rFonts w:ascii="Times New Roman" w:hAnsi="Times New Roman" w:eastAsia="Times New Roman" w:cs="Times New Roman"/>
                <w:b w:val="0"/>
                <w:i w:val="0"/>
                <w:caps w:val="0"/>
                <w:color w:val="000000"/>
                <w:sz w:val="24"/>
              </w:rPr>
              <w:t>05/05/2027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24 gói, gồm đặc tả use case và thiết kế chi tiết còn lại của ba phân hệ chức năng, quy trình vận hành mới 3.2.3, đặc tả yêu cầu phi chức năng 2.2.2, đặc tả giao diện trao đổi dữ liệu với Main System 4.2.5, kịch bản kiểm thử phân hệ 2.4.1, 3.4.1 và các dịch vụ đăng ký, đăng nhập, khôi phục mật khẩu, phí vận chuyển, khuyến mại, đặt hàng cùng giao diện đăng ký, đăng nhập và đặt hàng.</w:t>
      </w:r>
    </w:p>
    <w:p>
      <w:pPr>
        <w:spacing w:before="0" w:after="100" w:line="300" w:lineRule="auto"/>
        <w:jc w:val="both"/>
      </w:pPr>
      <w:r>
        <w:rPr>
          <w:rFonts w:ascii="Times New Roman" w:hAnsi="Times New Roman" w:eastAsia="Times New Roman" w:cs="Times New Roman"/>
          <w:b w:val="0"/>
          <w:i w:val="0"/>
          <w:caps w:val="0"/>
          <w:color w:val="000000"/>
          <w:sz w:val="26"/>
        </w:rPr>
        <w:t>Bản phát hành R3 cuối sprint trình diễn đăng ký, đăng nhập, khôi phục mật khẩu và đặt hàng có phí vận chuyển, mã giảm giá trên môi trường phát triển. Dịch vụ giỏ hàng 3.3.1 và giao diện giỏ hàng 3.3.8 mới đạt 60,0% và 63,0% nên giỏ hàng chưa trình diễn, chuyển sang kỳ tới theo vấn đề VD07. Mốc M2 đạt ngày 06/05/2027, đúng hạn, đủ điều kiện đợt thanh toán 2.</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32,83</w:t>
            </w:r>
          </w:p>
        </w:tc>
        <w:tc>
          <w:tcPr>
            <w:tcW w:type="dxa" w:w="1300"/>
          </w:tcPr>
          <w:p>
            <w:pPr>
              <w:spacing w:before="0" w:after="40"/>
              <w:jc w:val="right"/>
            </w:pPr>
            <w:r>
              <w:rPr>
                <w:rFonts w:ascii="Times New Roman" w:hAnsi="Times New Roman" w:eastAsia="Times New Roman" w:cs="Times New Roman"/>
                <w:b w:val="0"/>
                <w:i w:val="0"/>
                <w:caps w:val="0"/>
                <w:color w:val="000000"/>
                <w:sz w:val="24"/>
              </w:rPr>
              <w:t>32,75</w:t>
            </w:r>
          </w:p>
        </w:tc>
        <w:tc>
          <w:tcPr>
            <w:tcW w:type="dxa" w:w="1300"/>
          </w:tcPr>
          <w:p>
            <w:pPr>
              <w:spacing w:before="0" w:after="40"/>
              <w:jc w:val="right"/>
            </w:pPr>
            <w:r>
              <w:rPr>
                <w:rFonts w:ascii="Times New Roman" w:hAnsi="Times New Roman" w:eastAsia="Times New Roman" w:cs="Times New Roman"/>
                <w:b w:val="0"/>
                <w:i w:val="0"/>
                <w:caps w:val="0"/>
                <w:color w:val="000000"/>
                <w:sz w:val="24"/>
              </w:rPr>
              <w:t>-0,08</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19,00</w:t>
            </w:r>
          </w:p>
        </w:tc>
        <w:tc>
          <w:tcPr>
            <w:tcW w:type="dxa" w:w="1300"/>
          </w:tcPr>
          <w:p>
            <w:pPr>
              <w:spacing w:before="0" w:after="40"/>
              <w:jc w:val="right"/>
            </w:pPr>
            <w:r>
              <w:rPr>
                <w:rFonts w:ascii="Times New Roman" w:hAnsi="Times New Roman" w:eastAsia="Times New Roman" w:cs="Times New Roman"/>
                <w:b w:val="0"/>
                <w:i w:val="0"/>
                <w:caps w:val="0"/>
                <w:color w:val="000000"/>
                <w:sz w:val="24"/>
              </w:rPr>
              <w:t>16,00</w:t>
            </w:r>
          </w:p>
        </w:tc>
        <w:tc>
          <w:tcPr>
            <w:tcW w:type="dxa" w:w="1300"/>
          </w:tcPr>
          <w:p>
            <w:pPr>
              <w:spacing w:before="0" w:after="40"/>
              <w:jc w:val="right"/>
            </w:pPr>
            <w:r>
              <w:rPr>
                <w:rFonts w:ascii="Times New Roman" w:hAnsi="Times New Roman" w:eastAsia="Times New Roman" w:cs="Times New Roman"/>
                <w:b w:val="0"/>
                <w:i w:val="0"/>
                <w:caps w:val="0"/>
                <w:color w:val="000000"/>
                <w:sz w:val="24"/>
              </w:rPr>
              <w:t>-3,00</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17,00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32,00</w:t>
            </w:r>
          </w:p>
        </w:tc>
        <w:tc>
          <w:tcPr>
            <w:tcW w:type="dxa" w:w="1300"/>
          </w:tcPr>
          <w:p>
            <w:pPr>
              <w:spacing w:before="0" w:after="40"/>
              <w:jc w:val="right"/>
            </w:pPr>
            <w:r>
              <w:rPr>
                <w:rFonts w:ascii="Times New Roman" w:hAnsi="Times New Roman" w:eastAsia="Times New Roman" w:cs="Times New Roman"/>
                <w:b w:val="0"/>
                <w:i w:val="0"/>
                <w:caps w:val="0"/>
                <w:color w:val="000000"/>
                <w:sz w:val="24"/>
              </w:rPr>
              <w:t>29,50</w:t>
            </w:r>
          </w:p>
        </w:tc>
        <w:tc>
          <w:tcPr>
            <w:tcW w:type="dxa" w:w="1300"/>
          </w:tcPr>
          <w:p>
            <w:pPr>
              <w:spacing w:before="0" w:after="40"/>
              <w:jc w:val="right"/>
            </w:pPr>
            <w:r>
              <w:rPr>
                <w:rFonts w:ascii="Times New Roman" w:hAnsi="Times New Roman" w:eastAsia="Times New Roman" w:cs="Times New Roman"/>
                <w:b w:val="0"/>
                <w:i w:val="0"/>
                <w:caps w:val="0"/>
                <w:color w:val="000000"/>
                <w:sz w:val="24"/>
              </w:rPr>
              <w:t>-2,50</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3,50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29,00</w:t>
            </w:r>
          </w:p>
        </w:tc>
        <w:tc>
          <w:tcPr>
            <w:tcW w:type="dxa" w:w="1300"/>
          </w:tcPr>
          <w:p>
            <w:pPr>
              <w:spacing w:before="0" w:after="40"/>
              <w:jc w:val="right"/>
            </w:pPr>
            <w:r>
              <w:rPr>
                <w:rFonts w:ascii="Times New Roman" w:hAnsi="Times New Roman" w:eastAsia="Times New Roman" w:cs="Times New Roman"/>
                <w:b w:val="0"/>
                <w:i w:val="0"/>
                <w:caps w:val="0"/>
                <w:color w:val="000000"/>
                <w:sz w:val="24"/>
              </w:rPr>
              <w:t>27,75</w:t>
            </w:r>
          </w:p>
        </w:tc>
        <w:tc>
          <w:tcPr>
            <w:tcW w:type="dxa" w:w="1300"/>
          </w:tcPr>
          <w:p>
            <w:pPr>
              <w:spacing w:before="0" w:after="40"/>
              <w:jc w:val="right"/>
            </w:pPr>
            <w:r>
              <w:rPr>
                <w:rFonts w:ascii="Times New Roman" w:hAnsi="Times New Roman" w:eastAsia="Times New Roman" w:cs="Times New Roman"/>
                <w:b w:val="0"/>
                <w:i w:val="0"/>
                <w:caps w:val="0"/>
                <w:color w:val="000000"/>
                <w:sz w:val="24"/>
              </w:rPr>
              <w:t>-1,25</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5,25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32,00</w:t>
            </w:r>
          </w:p>
        </w:tc>
        <w:tc>
          <w:tcPr>
            <w:tcW w:type="dxa" w:w="1300"/>
          </w:tcPr>
          <w:p>
            <w:pPr>
              <w:spacing w:before="0" w:after="40"/>
              <w:jc w:val="right"/>
            </w:pPr>
            <w:r>
              <w:rPr>
                <w:rFonts w:ascii="Times New Roman" w:hAnsi="Times New Roman" w:eastAsia="Times New Roman" w:cs="Times New Roman"/>
                <w:b w:val="0"/>
                <w:i w:val="0"/>
                <w:caps w:val="0"/>
                <w:color w:val="000000"/>
                <w:sz w:val="24"/>
              </w:rPr>
              <w:t>31,75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1,25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32,67</w:t>
            </w:r>
          </w:p>
        </w:tc>
        <w:tc>
          <w:tcPr>
            <w:tcW w:type="dxa" w:w="1300"/>
          </w:tcPr>
          <w:p>
            <w:pPr>
              <w:spacing w:before="0" w:after="40"/>
              <w:jc w:val="right"/>
            </w:pPr>
            <w:r>
              <w:rPr>
                <w:rFonts w:ascii="Times New Roman" w:hAnsi="Times New Roman" w:eastAsia="Times New Roman" w:cs="Times New Roman"/>
                <w:b w:val="0"/>
                <w:i w:val="0"/>
                <w:caps w:val="0"/>
                <w:color w:val="000000"/>
                <w:sz w:val="24"/>
              </w:rPr>
              <w:t>31,75</w:t>
            </w:r>
          </w:p>
        </w:tc>
        <w:tc>
          <w:tcPr>
            <w:tcW w:type="dxa" w:w="1300"/>
          </w:tcPr>
          <w:p>
            <w:pPr>
              <w:spacing w:before="0" w:after="40"/>
              <w:jc w:val="right"/>
            </w:pPr>
            <w:r>
              <w:rPr>
                <w:rFonts w:ascii="Times New Roman" w:hAnsi="Times New Roman" w:eastAsia="Times New Roman" w:cs="Times New Roman"/>
                <w:b w:val="0"/>
                <w:i w:val="0"/>
                <w:caps w:val="0"/>
                <w:color w:val="000000"/>
                <w:sz w:val="24"/>
              </w:rPr>
              <w:t>-0,92</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1,25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23,00</w:t>
            </w:r>
          </w:p>
        </w:tc>
        <w:tc>
          <w:tcPr>
            <w:tcW w:type="dxa" w:w="1300"/>
          </w:tcPr>
          <w:p>
            <w:pPr>
              <w:spacing w:before="0" w:after="40"/>
              <w:jc w:val="right"/>
            </w:pPr>
            <w:r>
              <w:rPr>
                <w:rFonts w:ascii="Times New Roman" w:hAnsi="Times New Roman" w:eastAsia="Times New Roman" w:cs="Times New Roman"/>
                <w:b w:val="0"/>
                <w:i w:val="0"/>
                <w:caps w:val="0"/>
                <w:color w:val="000000"/>
                <w:sz w:val="24"/>
              </w:rPr>
              <w:t>22,00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11,00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18,00</w:t>
            </w:r>
          </w:p>
        </w:tc>
        <w:tc>
          <w:tcPr>
            <w:tcW w:type="dxa" w:w="1300"/>
          </w:tcPr>
          <w:p>
            <w:pPr>
              <w:spacing w:before="0" w:after="40"/>
              <w:jc w:val="right"/>
            </w:pPr>
            <w:r>
              <w:rPr>
                <w:rFonts w:ascii="Times New Roman" w:hAnsi="Times New Roman" w:eastAsia="Times New Roman" w:cs="Times New Roman"/>
                <w:b w:val="0"/>
                <w:i w:val="0"/>
                <w:caps w:val="0"/>
                <w:color w:val="000000"/>
                <w:sz w:val="24"/>
              </w:rPr>
              <w:t>17,00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23,00</w:t>
            </w:r>
          </w:p>
        </w:tc>
        <w:tc>
          <w:tcPr>
            <w:tcW w:type="dxa" w:w="1500"/>
          </w:tcPr>
          <w:p>
            <w:pPr>
              <w:spacing w:before="0" w:after="40"/>
              <w:jc w:val="right"/>
            </w:pPr>
            <w:r>
              <w:rPr>
                <w:rFonts w:ascii="Times New Roman" w:hAnsi="Times New Roman" w:eastAsia="Times New Roman" w:cs="Times New Roman"/>
                <w:b w:val="0"/>
                <w:i w:val="0"/>
                <w:caps w:val="0"/>
                <w:color w:val="000000"/>
                <w:sz w:val="24"/>
              </w:rPr>
              <w:t>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19,83</w:t>
            </w:r>
          </w:p>
        </w:tc>
        <w:tc>
          <w:tcPr>
            <w:tcW w:type="dxa" w:w="1300"/>
          </w:tcPr>
          <w:p>
            <w:pPr>
              <w:spacing w:before="0" w:after="40"/>
              <w:jc w:val="right"/>
            </w:pPr>
            <w:r>
              <w:rPr>
                <w:rFonts w:ascii="Times New Roman" w:hAnsi="Times New Roman" w:eastAsia="Times New Roman" w:cs="Times New Roman"/>
                <w:b w:val="0"/>
                <w:i w:val="0"/>
                <w:caps w:val="0"/>
                <w:color w:val="000000"/>
                <w:sz w:val="24"/>
              </w:rPr>
              <w:t>19,50</w:t>
            </w:r>
          </w:p>
        </w:tc>
        <w:tc>
          <w:tcPr>
            <w:tcW w:type="dxa" w:w="1300"/>
          </w:tcPr>
          <w:p>
            <w:pPr>
              <w:spacing w:before="0" w:after="40"/>
              <w:jc w:val="right"/>
            </w:pPr>
            <w:r>
              <w:rPr>
                <w:rFonts w:ascii="Times New Roman" w:hAnsi="Times New Roman" w:eastAsia="Times New Roman" w:cs="Times New Roman"/>
                <w:b w:val="0"/>
                <w:i w:val="0"/>
                <w:caps w:val="0"/>
                <w:color w:val="000000"/>
                <w:sz w:val="24"/>
              </w:rPr>
              <w:t>-0,33</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13,50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14,00</w:t>
            </w:r>
          </w:p>
        </w:tc>
        <w:tc>
          <w:tcPr>
            <w:tcW w:type="dxa" w:w="1300"/>
          </w:tcPr>
          <w:p>
            <w:pPr>
              <w:spacing w:before="0" w:after="40"/>
              <w:jc w:val="right"/>
            </w:pPr>
            <w:r>
              <w:rPr>
                <w:rFonts w:ascii="Times New Roman" w:hAnsi="Times New Roman" w:eastAsia="Times New Roman" w:cs="Times New Roman"/>
                <w:b w:val="0"/>
                <w:i w:val="0"/>
                <w:caps w:val="0"/>
                <w:color w:val="000000"/>
                <w:sz w:val="24"/>
              </w:rPr>
              <w:t>13,50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23,00</w:t>
            </w:r>
          </w:p>
        </w:tc>
        <w:tc>
          <w:tcPr>
            <w:tcW w:type="dxa" w:w="1500"/>
          </w:tcPr>
          <w:p>
            <w:pPr>
              <w:spacing w:before="0" w:after="40"/>
              <w:jc w:val="right"/>
            </w:pPr>
            <w:r>
              <w:rPr>
                <w:rFonts w:ascii="Times New Roman" w:hAnsi="Times New Roman" w:eastAsia="Times New Roman" w:cs="Times New Roman"/>
                <w:b w:val="0"/>
                <w:i w:val="0"/>
                <w:caps w:val="0"/>
                <w:color w:val="000000"/>
                <w:sz w:val="24"/>
              </w:rPr>
              <w:t>9,50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8,00</w:t>
            </w:r>
          </w:p>
        </w:tc>
        <w:tc>
          <w:tcPr>
            <w:tcW w:type="dxa" w:w="1300"/>
          </w:tcPr>
          <w:p>
            <w:pPr>
              <w:spacing w:before="0" w:after="40"/>
              <w:jc w:val="right"/>
            </w:pPr>
            <w:r>
              <w:rPr>
                <w:rFonts w:ascii="Times New Roman" w:hAnsi="Times New Roman" w:eastAsia="Times New Roman" w:cs="Times New Roman"/>
                <w:b w:val="0"/>
                <w:i w:val="0"/>
                <w:caps w:val="0"/>
                <w:color w:val="000000"/>
                <w:sz w:val="24"/>
              </w:rPr>
              <w:t>6,00</w:t>
            </w:r>
          </w:p>
        </w:tc>
        <w:tc>
          <w:tcPr>
            <w:tcW w:type="dxa" w:w="1300"/>
          </w:tcPr>
          <w:p>
            <w:pPr>
              <w:spacing w:before="0" w:after="40"/>
              <w:jc w:val="right"/>
            </w:pPr>
            <w:r>
              <w:rPr>
                <w:rFonts w:ascii="Times New Roman" w:hAnsi="Times New Roman" w:eastAsia="Times New Roman" w:cs="Times New Roman"/>
                <w:b w:val="0"/>
                <w:i w:val="0"/>
                <w:caps w:val="0"/>
                <w:color w:val="000000"/>
                <w:sz w:val="24"/>
              </w:rPr>
              <w:t>-2,00</w:t>
            </w:r>
          </w:p>
        </w:tc>
        <w:tc>
          <w:tcPr>
            <w:tcW w:type="dxa" w:w="1400"/>
          </w:tcPr>
          <w:p>
            <w:pPr>
              <w:spacing w:before="0" w:after="40"/>
              <w:jc w:val="right"/>
            </w:pPr>
            <w:r>
              <w:rPr>
                <w:rFonts w:ascii="Times New Roman" w:hAnsi="Times New Roman" w:eastAsia="Times New Roman" w:cs="Times New Roman"/>
                <w:b w:val="0"/>
                <w:i w:val="0"/>
                <w:caps w:val="0"/>
                <w:color w:val="000000"/>
                <w:sz w:val="24"/>
              </w:rPr>
              <w:t>13,00</w:t>
            </w:r>
          </w:p>
        </w:tc>
        <w:tc>
          <w:tcPr>
            <w:tcW w:type="dxa" w:w="1500"/>
          </w:tcPr>
          <w:p>
            <w:pPr>
              <w:spacing w:before="0" w:after="40"/>
              <w:jc w:val="right"/>
            </w:pPr>
            <w:r>
              <w:rPr>
                <w:rFonts w:ascii="Times New Roman" w:hAnsi="Times New Roman" w:eastAsia="Times New Roman" w:cs="Times New Roman"/>
                <w:b w:val="0"/>
                <w:i w:val="0"/>
                <w:caps w:val="0"/>
                <w:color w:val="000000"/>
                <w:sz w:val="24"/>
              </w:rPr>
              <w:t>7,00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13,00</w:t>
            </w:r>
          </w:p>
        </w:tc>
        <w:tc>
          <w:tcPr>
            <w:tcW w:type="dxa" w:w="1300"/>
          </w:tcPr>
          <w:p>
            <w:pPr>
              <w:spacing w:before="0" w:after="40"/>
              <w:jc w:val="right"/>
            </w:pPr>
            <w:r>
              <w:rPr>
                <w:rFonts w:ascii="Times New Roman" w:hAnsi="Times New Roman" w:eastAsia="Times New Roman" w:cs="Times New Roman"/>
                <w:b w:val="0"/>
                <w:i w:val="0"/>
                <w:caps w:val="0"/>
                <w:color w:val="000000"/>
                <w:sz w:val="24"/>
              </w:rPr>
              <w:t>13,00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13,00</w:t>
            </w:r>
          </w:p>
        </w:tc>
        <w:tc>
          <w:tcPr>
            <w:tcW w:type="dxa" w:w="1500"/>
          </w:tcPr>
          <w:p>
            <w:pPr>
              <w:spacing w:before="0" w:after="40"/>
              <w:jc w:val="right"/>
            </w:pPr>
            <w:r>
              <w:rPr>
                <w:rFonts w:ascii="Times New Roman" w:hAnsi="Times New Roman" w:eastAsia="Times New Roman" w:cs="Times New Roman"/>
                <w:b w:val="0"/>
                <w:i w:val="0"/>
                <w:caps w:val="0"/>
                <w:color w:val="000000"/>
                <w:sz w:val="24"/>
              </w:rPr>
              <w:t>0,00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273,33</w:t>
            </w:r>
          </w:p>
        </w:tc>
        <w:tc>
          <w:tcPr>
            <w:tcW w:type="dxa" w:w="1300"/>
          </w:tcPr>
          <w:p>
            <w:pPr>
              <w:spacing w:before="0" w:after="40"/>
              <w:jc w:val="right"/>
            </w:pPr>
            <w:r>
              <w:rPr>
                <w:rFonts w:ascii="Times New Roman" w:hAnsi="Times New Roman" w:eastAsia="Times New Roman" w:cs="Times New Roman"/>
                <w:b w:val="0"/>
                <w:i w:val="0"/>
                <w:caps w:val="0"/>
                <w:color w:val="000000"/>
                <w:sz w:val="24"/>
              </w:rPr>
              <w:t>260,50</w:t>
            </w:r>
          </w:p>
        </w:tc>
        <w:tc>
          <w:tcPr>
            <w:tcW w:type="dxa" w:w="1300"/>
          </w:tcPr>
          <w:p>
            <w:pPr>
              <w:spacing w:before="0" w:after="40"/>
              <w:jc w:val="right"/>
            </w:pPr>
            <w:r>
              <w:rPr>
                <w:rFonts w:ascii="Times New Roman" w:hAnsi="Times New Roman" w:eastAsia="Times New Roman" w:cs="Times New Roman"/>
                <w:b w:val="0"/>
                <w:i w:val="0"/>
                <w:caps w:val="0"/>
                <w:color w:val="000000"/>
                <w:sz w:val="24"/>
              </w:rPr>
              <w:t>-12,83</w:t>
            </w:r>
          </w:p>
        </w:tc>
        <w:tc>
          <w:tcPr>
            <w:tcW w:type="dxa" w:w="1400"/>
          </w:tcPr>
          <w:p>
            <w:pPr>
              <w:spacing w:before="0" w:after="40"/>
              <w:jc w:val="right"/>
            </w:pPr>
            <w:r>
              <w:rPr>
                <w:rFonts w:ascii="Times New Roman" w:hAnsi="Times New Roman" w:eastAsia="Times New Roman" w:cs="Times New Roman"/>
                <w:b w:val="0"/>
                <w:i w:val="0"/>
                <w:caps w:val="0"/>
                <w:color w:val="000000"/>
                <w:sz w:val="24"/>
              </w:rPr>
              <w:t>336,00</w:t>
            </w:r>
          </w:p>
        </w:tc>
        <w:tc>
          <w:tcPr>
            <w:tcW w:type="dxa" w:w="1500"/>
          </w:tcPr>
          <w:p>
            <w:pPr>
              <w:spacing w:before="0" w:after="40"/>
              <w:jc w:val="right"/>
            </w:pPr>
            <w:r>
              <w:rPr>
                <w:rFonts w:ascii="Times New Roman" w:hAnsi="Times New Roman" w:eastAsia="Times New Roman" w:cs="Times New Roman"/>
                <w:b w:val="0"/>
                <w:i w:val="0"/>
                <w:caps w:val="0"/>
                <w:color w:val="000000"/>
                <w:sz w:val="24"/>
              </w:rPr>
              <w:t>75,50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7</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2, trong đó ưu tiên cao 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VD04</w:t>
            </w:r>
          </w:p>
        </w:tc>
        <w:tc>
          <w:tcPr>
            <w:tcW w:type="dxa" w:w="3100"/>
          </w:tcPr>
          <w:p>
            <w:pPr>
              <w:spacing w:before="0" w:after="40"/>
              <w:jc w:val="left"/>
            </w:pPr>
            <w:r>
              <w:rPr>
                <w:rFonts w:ascii="Times New Roman" w:hAnsi="Times New Roman" w:eastAsia="Times New Roman" w:cs="Times New Roman"/>
                <w:b w:val="0"/>
                <w:i w:val="0"/>
                <w:caps w:val="0"/>
                <w:color w:val="000000"/>
                <w:sz w:val="24"/>
              </w:rPr>
              <w:t>Chưa nhận tài liệu đặc tả giao diện trao đổi dữ liệu của Main System theo cam kết CK1 hạn 14/04/2027, gói 4.2.5 có nguy cơ bắt đầu muộn</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t>RR02</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21/04/2027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VD05</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1.2.7, 2.2.7 và 3.2.8 bắt đầu muộn 1 đến 2 ngày do đặc tả use case tìm kiếm 1.2.5 vượt công và tạo lập Selling DB 4.3.2 phải sửa lỗi ràng buộc dữ liệu</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23/04/2027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VD06</w:t>
            </w:r>
          </w:p>
        </w:tc>
        <w:tc>
          <w:tcPr>
            <w:tcW w:type="dxa" w:w="3100"/>
          </w:tcPr>
          <w:p>
            <w:pPr>
              <w:spacing w:before="0" w:after="40"/>
              <w:jc w:val="left"/>
            </w:pPr>
            <w:r>
              <w:rPr>
                <w:rFonts w:ascii="Times New Roman" w:hAnsi="Times New Roman" w:eastAsia="Times New Roman" w:cs="Times New Roman"/>
                <w:b w:val="0"/>
                <w:i w:val="0"/>
                <w:caps w:val="0"/>
                <w:color w:val="000000"/>
                <w:sz w:val="24"/>
              </w:rPr>
              <w:t>Gói 4.2.5 đặc tả giao diện trao đổi dữ liệu với Main System bắt đầu muộn 2 ngày làm việc do tài liệu CK1 đến muộn, kéo theo gói găng 4.2.7 thiết kế tích hợp và 4.4.1 dịch vụ giả lập Main System, có nguy cơ tiêu hao dự trữ đến cut over</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t>RR02</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14/05/2027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VD07</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lập trình và kiểm thử 1.3.2, 1.3.6, 2.4.5, 3.3.1, 3.3.7, 3.3.8, 3.3.10, 4.4.2 và gói quản lý 4.1.3 chậm so với kế hoạch cuối S3 do chuỗi thiết kế chi tiết 1.2.7, 2.2.7, 3.2.9 hoàn thành muộn và tài liệu Main System đến muộn</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14/05/2027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HD05</w:t>
            </w:r>
          </w:p>
        </w:tc>
        <w:tc>
          <w:tcPr>
            <w:tcW w:type="dxa" w:w="800"/>
          </w:tcPr>
          <w:p>
            <w:pPr>
              <w:spacing w:before="0" w:after="40"/>
              <w:jc w:val="center"/>
            </w:pPr>
            <w:r>
              <w:rPr>
                <w:rFonts w:ascii="Times New Roman" w:hAnsi="Times New Roman" w:eastAsia="Times New Roman" w:cs="Times New Roman"/>
                <w:b w:val="0"/>
                <w:i w:val="0"/>
                <w:caps w:val="0"/>
                <w:color w:val="000000"/>
                <w:sz w:val="24"/>
              </w:rPr>
              <w:t>VD04</w:t>
            </w:r>
          </w:p>
        </w:tc>
        <w:tc>
          <w:tcPr>
            <w:tcW w:type="dxa" w:w="3500"/>
          </w:tcPr>
          <w:p>
            <w:pPr>
              <w:spacing w:before="0" w:after="40"/>
              <w:jc w:val="left"/>
            </w:pPr>
            <w:r>
              <w:rPr>
                <w:rFonts w:ascii="Times New Roman" w:hAnsi="Times New Roman" w:eastAsia="Times New Roman" w:cs="Times New Roman"/>
                <w:b w:val="0"/>
                <w:i w:val="0"/>
                <w:caps w:val="0"/>
                <w:color w:val="000000"/>
                <w:sz w:val="24"/>
              </w:rPr>
              <w:t>Gửi văn bản đề nghị Chủ đầu tư cung cấp tài liệu đặc tả giao diện Main System kèm danh sách thông tin còn thiếu</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HD07</w:t>
            </w:r>
          </w:p>
        </w:tc>
        <w:tc>
          <w:tcPr>
            <w:tcW w:type="dxa" w:w="800"/>
          </w:tcPr>
          <w:p>
            <w:pPr>
              <w:spacing w:before="0" w:after="40"/>
              <w:jc w:val="center"/>
            </w:pPr>
            <w:r>
              <w:rPr>
                <w:rFonts w:ascii="Times New Roman" w:hAnsi="Times New Roman" w:eastAsia="Times New Roman" w:cs="Times New Roman"/>
                <w:b w:val="0"/>
                <w:i w:val="0"/>
                <w:caps w:val="0"/>
                <w:color w:val="000000"/>
                <w:sz w:val="24"/>
              </w:rPr>
              <w:t>VD04</w:t>
            </w:r>
          </w:p>
        </w:tc>
        <w:tc>
          <w:tcPr>
            <w:tcW w:type="dxa" w:w="3500"/>
          </w:tcPr>
          <w:p>
            <w:pPr>
              <w:spacing w:before="0" w:after="40"/>
              <w:jc w:val="left"/>
            </w:pPr>
            <w:r>
              <w:rPr>
                <w:rFonts w:ascii="Times New Roman" w:hAnsi="Times New Roman" w:eastAsia="Times New Roman" w:cs="Times New Roman"/>
                <w:b w:val="0"/>
                <w:i w:val="0"/>
                <w:caps w:val="0"/>
                <w:color w:val="000000"/>
                <w:sz w:val="24"/>
              </w:rPr>
              <w:t>Đối chiếu tài liệu đặc tả giao diện Main System nhận ngày 19/04/2027 với danh sách thông tin còn thiếu</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200"/>
          </w:tcPr>
          <w:p>
            <w:pPr>
              <w:spacing w:before="0" w:after="40"/>
              <w:jc w:val="center"/>
            </w:pPr>
            <w:r>
              <w:rPr>
                <w:rFonts w:ascii="Times New Roman" w:hAnsi="Times New Roman" w:eastAsia="Times New Roman" w:cs="Times New Roman"/>
                <w:b w:val="0"/>
                <w:i w:val="0"/>
                <w:caps w:val="0"/>
                <w:color w:val="000000"/>
                <w:sz w:val="24"/>
              </w:rPr>
              <w:t>20/04/2027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HD06</w:t>
            </w:r>
          </w:p>
        </w:tc>
        <w:tc>
          <w:tcPr>
            <w:tcW w:type="dxa" w:w="800"/>
          </w:tcPr>
          <w:p>
            <w:pPr>
              <w:spacing w:before="0" w:after="40"/>
              <w:jc w:val="center"/>
            </w:pPr>
            <w:r>
              <w:rPr>
                <w:rFonts w:ascii="Times New Roman" w:hAnsi="Times New Roman" w:eastAsia="Times New Roman" w:cs="Times New Roman"/>
                <w:b w:val="0"/>
                <w:i w:val="0"/>
                <w:caps w:val="0"/>
                <w:color w:val="000000"/>
                <w:sz w:val="24"/>
              </w:rPr>
              <w:t>VD05</w:t>
            </w:r>
          </w:p>
        </w:tc>
        <w:tc>
          <w:tcPr>
            <w:tcW w:type="dxa" w:w="3500"/>
          </w:tcPr>
          <w:p>
            <w:pPr>
              <w:spacing w:before="0" w:after="40"/>
              <w:jc w:val="left"/>
            </w:pPr>
            <w:r>
              <w:rPr>
                <w:rFonts w:ascii="Times New Roman" w:hAnsi="Times New Roman" w:eastAsia="Times New Roman" w:cs="Times New Roman"/>
                <w:b w:val="0"/>
                <w:i w:val="0"/>
                <w:caps w:val="0"/>
                <w:color w:val="000000"/>
                <w:sz w:val="24"/>
              </w:rPr>
              <w:t>Điều chỉnh thứ tự công việc đầu S3, ưu tiên các gói thiết kế chi tiết 1.2.7, 2.2.7 và đặc tả 3.2.8 trước gói lập trình</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HD08</w:t>
            </w:r>
          </w:p>
        </w:tc>
        <w:tc>
          <w:tcPr>
            <w:tcW w:type="dxa" w:w="800"/>
          </w:tcPr>
          <w:p>
            <w:pPr>
              <w:spacing w:before="0" w:after="40"/>
              <w:jc w:val="center"/>
            </w:pPr>
            <w:r>
              <w:rPr>
                <w:rFonts w:ascii="Times New Roman" w:hAnsi="Times New Roman" w:eastAsia="Times New Roman" w:cs="Times New Roman"/>
                <w:b w:val="0"/>
                <w:i w:val="0"/>
                <w:caps w:val="0"/>
                <w:color w:val="000000"/>
                <w:sz w:val="24"/>
              </w:rPr>
              <w:t>VD06</w:t>
            </w:r>
          </w:p>
        </w:tc>
        <w:tc>
          <w:tcPr>
            <w:tcW w:type="dxa" w:w="3500"/>
          </w:tcPr>
          <w:p>
            <w:pPr>
              <w:spacing w:before="0" w:after="40"/>
              <w:jc w:val="left"/>
            </w:pPr>
            <w:r>
              <w:rPr>
                <w:rFonts w:ascii="Times New Roman" w:hAnsi="Times New Roman" w:eastAsia="Times New Roman" w:cs="Times New Roman"/>
                <w:b w:val="0"/>
                <w:i w:val="0"/>
                <w:caps w:val="0"/>
                <w:color w:val="000000"/>
                <w:sz w:val="24"/>
              </w:rPr>
              <w:t>Ghi nhận việc chậm cung cấp tài liệu thuộc phía Chủ đầu tư vào biên bản họp tiến độ theo Mục 18 E-ĐKC</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22/04/2027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HD09</w:t>
            </w:r>
          </w:p>
        </w:tc>
        <w:tc>
          <w:tcPr>
            <w:tcW w:type="dxa" w:w="800"/>
          </w:tcPr>
          <w:p>
            <w:pPr>
              <w:spacing w:before="0" w:after="40"/>
              <w:jc w:val="center"/>
            </w:pPr>
            <w:r>
              <w:rPr>
                <w:rFonts w:ascii="Times New Roman" w:hAnsi="Times New Roman" w:eastAsia="Times New Roman" w:cs="Times New Roman"/>
                <w:b w:val="0"/>
                <w:i w:val="0"/>
                <w:caps w:val="0"/>
                <w:color w:val="000000"/>
                <w:sz w:val="24"/>
              </w:rPr>
              <w:t>VD06</w:t>
            </w:r>
          </w:p>
        </w:tc>
        <w:tc>
          <w:tcPr>
            <w:tcW w:type="dxa" w:w="3500"/>
          </w:tcPr>
          <w:p>
            <w:pPr>
              <w:spacing w:before="0" w:after="40"/>
              <w:jc w:val="left"/>
            </w:pPr>
            <w:r>
              <w:rPr>
                <w:rFonts w:ascii="Times New Roman" w:hAnsi="Times New Roman" w:eastAsia="Times New Roman" w:cs="Times New Roman"/>
                <w:b w:val="0"/>
                <w:i w:val="0"/>
                <w:caps w:val="0"/>
                <w:color w:val="000000"/>
                <w:sz w:val="24"/>
              </w:rPr>
              <w:t>Ưu tiên nguồn lực của Phạm Tuấn Anh cho thiết kế tích hợp 4.2.7 ngay khi đặc tả giao diện 4.2.5 hoàn thành</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HD10</w:t>
            </w:r>
          </w:p>
        </w:tc>
        <w:tc>
          <w:tcPr>
            <w:tcW w:type="dxa" w:w="800"/>
          </w:tcPr>
          <w:p>
            <w:pPr>
              <w:spacing w:before="0" w:after="40"/>
              <w:jc w:val="center"/>
            </w:pPr>
            <w:r>
              <w:rPr>
                <w:rFonts w:ascii="Times New Roman" w:hAnsi="Times New Roman" w:eastAsia="Times New Roman" w:cs="Times New Roman"/>
                <w:b w:val="0"/>
                <w:i w:val="0"/>
                <w:caps w:val="0"/>
                <w:color w:val="000000"/>
                <w:sz w:val="24"/>
              </w:rPr>
              <w:t>VD07</w:t>
            </w:r>
          </w:p>
        </w:tc>
        <w:tc>
          <w:tcPr>
            <w:tcW w:type="dxa" w:w="3500"/>
          </w:tcPr>
          <w:p>
            <w:pPr>
              <w:spacing w:before="0" w:after="40"/>
              <w:jc w:val="left"/>
            </w:pPr>
            <w:r>
              <w:rPr>
                <w:rFonts w:ascii="Times New Roman" w:hAnsi="Times New Roman" w:eastAsia="Times New Roman" w:cs="Times New Roman"/>
                <w:b w:val="0"/>
                <w:i w:val="0"/>
                <w:caps w:val="0"/>
                <w:color w:val="000000"/>
                <w:sz w:val="24"/>
              </w:rPr>
              <w:t>Lập kế hoạch S4 ưu tiên các gói chậm có gói sau trên đường găng, theo dõi hằng ngày trong họp đứng</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1.3.2 Dịch vụ tìm kiếm theo từ khóa và gợi ý tìm kiếm: hoàn thành 0%, kế hoạch 40%</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1.3.6 Giao diện tìm kiếm, kết quả và bộ lọc: hoàn thành 0%, kế hoạch 20%</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2.4.5 Kiểm thử bảo mật tài khoản theo OWASP Top 10 và tương thích thiết bị phân hệ quản lý khách hàng: hoàn thành 0%, kế hoạch 16,7%</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3.3.1 Dịch vụ giỏ hàng: hoàn thành 60%,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3.3.7 Dịch vụ yêu cầu đổi trả và hoàn tiền: hoàn thành 50%, kế hoạch 66,7%</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3.3.8 Giao diện giỏ hàng: hoàn thành 63%,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3.3.10 Giao diện theo dõi đơn hàng, hủy đơn và đổi trả: hoàn thành 60%, kế hoạch 80%</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4.1.3 Quản lý cấu hình, phiên bản tài liệu, hồ sơ dự án, hồ sơ nghiệm thu và thanh toán, phần phân hệ tích hợp hệ thống: hoàn thành 35%, kế hoạch 45,2%</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4.2.7 Thiết kế tích hợp gồm ánh xạ dữ liệu, xử lý lỗi và gửi lại: hoàn thành 75%,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VD06</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4.4.1 Dịch vụ giả lập Main System và dữ liệu kiểm thử tích hợp: hoàn thành 0%, kế hoạch 50%</w:t>
            </w:r>
          </w:p>
        </w:tc>
        <w:tc>
          <w:tcPr>
            <w:tcW w:type="dxa" w:w="1900"/>
          </w:tcPr>
          <w:p>
            <w:pPr>
              <w:spacing w:before="0" w:after="40"/>
              <w:jc w:val="left"/>
            </w:pPr>
            <w:r>
              <w:rPr>
                <w:rFonts w:ascii="Times New Roman" w:hAnsi="Times New Roman" w:eastAsia="Times New Roman" w:cs="Times New Roman"/>
                <w:b w:val="0"/>
                <w:i w:val="0"/>
                <w:caps w:val="0"/>
                <w:color w:val="000000"/>
                <w:sz w:val="24"/>
              </w:rPr>
              <w:t>VD06</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4.4.2 Kịch bản kiểm thử tích hợp với Main System: hoàn thành 58%,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Chỉ số dưới ngưỡng</w:t>
            </w:r>
          </w:p>
        </w:tc>
        <w:tc>
          <w:tcPr>
            <w:tcW w:type="dxa" w:w="5600"/>
          </w:tcPr>
          <w:p>
            <w:pPr>
              <w:spacing w:before="0" w:after="40"/>
              <w:jc w:val="left"/>
            </w:pPr>
            <w:r>
              <w:rPr>
                <w:rFonts w:ascii="Times New Roman" w:hAnsi="Times New Roman" w:eastAsia="Times New Roman" w:cs="Times New Roman"/>
                <w:b w:val="0"/>
                <w:i w:val="0"/>
                <w:caps w:val="0"/>
                <w:color w:val="000000"/>
                <w:sz w:val="24"/>
              </w:rPr>
              <w:t>SPI: 0,94, ngưỡng 0,95</w:t>
            </w:r>
          </w:p>
        </w:tc>
        <w:tc>
          <w:tcPr>
            <w:tcW w:type="dxa" w:w="1900"/>
          </w:tcPr>
          <w:p>
            <w:pPr>
              <w:spacing w:before="0" w:after="40"/>
              <w:jc w:val="left"/>
            </w:pPr>
            <w:r>
              <w:rPr>
                <w:rFonts w:ascii="Times New Roman" w:hAnsi="Times New Roman" w:eastAsia="Times New Roman" w:cs="Times New Roman"/>
                <w:b w:val="0"/>
                <w:i w:val="0"/>
                <w:caps w:val="0"/>
                <w:color w:val="000000"/>
                <w:sz w:val="24"/>
              </w:rPr>
              <w:t>VD06, VD07</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Rủi ro đã xảy ra</w:t>
            </w:r>
          </w:p>
        </w:tc>
        <w:tc>
          <w:tcPr>
            <w:tcW w:type="dxa" w:w="5600"/>
          </w:tcPr>
          <w:p>
            <w:pPr>
              <w:spacing w:before="0" w:after="40"/>
              <w:jc w:val="left"/>
            </w:pPr>
            <w:r>
              <w:rPr>
                <w:rFonts w:ascii="Times New Roman" w:hAnsi="Times New Roman" w:eastAsia="Times New Roman" w:cs="Times New Roman"/>
                <w:b w:val="0"/>
                <w:i w:val="0"/>
                <w:caps w:val="0"/>
                <w:color w:val="000000"/>
                <w:sz w:val="24"/>
              </w:rPr>
              <w:t>Rủi ro RR02: Tài liệu giao diện hoặc môi trường thử của Main System đến muộn hơn cam kết hoặc không đủ thông tin</w:t>
            </w:r>
          </w:p>
        </w:tc>
        <w:tc>
          <w:tcPr>
            <w:tcW w:type="dxa" w:w="1900"/>
          </w:tcPr>
          <w:p>
            <w:pPr>
              <w:spacing w:before="0" w:after="40"/>
              <w:jc w:val="left"/>
            </w:pPr>
            <w:r>
              <w:rPr>
                <w:rFonts w:ascii="Times New Roman" w:hAnsi="Times New Roman" w:eastAsia="Times New Roman" w:cs="Times New Roman"/>
                <w:b w:val="0"/>
                <w:i w:val="0"/>
                <w:caps w:val="0"/>
                <w:color w:val="000000"/>
                <w:sz w:val="24"/>
              </w:rPr>
              <w:t>VD04, VD06</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7 vấn đề, đã đóng 5, còn mở 2, trong đó 1 vấn đề ưu tiên cao, không có vấn đề hay hành động quá hạn. Vấn đề VD04 đóng khi Chủ đầu tư cung cấp đủ tài liệu Main System, vấn đề VD05 đóng khi các gói thiết kế chi tiết chậm từ kỳ trước hoàn thành.</w:t>
      </w:r>
    </w:p>
    <w:p>
      <w:pPr>
        <w:spacing w:before="0" w:after="100" w:line="300" w:lineRule="auto"/>
        <w:jc w:val="both"/>
      </w:pPr>
      <w:r>
        <w:rPr>
          <w:rFonts w:ascii="Times New Roman" w:hAnsi="Times New Roman" w:eastAsia="Times New Roman" w:cs="Times New Roman"/>
          <w:b w:val="0"/>
          <w:i w:val="0"/>
          <w:caps w:val="0"/>
          <w:color w:val="000000"/>
          <w:sz w:val="26"/>
        </w:rPr>
        <w:t>Vấn đề ưu tiên cao VD06 theo dõi tác động tiến độ của rủi ro RR02. Việc chậm cung cấp tài liệu thuộc phía Chủ đầu tư đã được ghi vào biên bản họp tiến độ theo kế hoạch ứng phó, nguồn lực thiết kế tích hợp được ưu tiên. Rủi ro RR02 chỉ đóng khi kiểm thử tích hợp đạt và biên bản xác nhận đặc tả giao diện tích hợp được ký.</w:t>
      </w:r>
    </w:p>
    <w:p>
      <w:pPr>
        <w:spacing w:before="0" w:after="100" w:line="300" w:lineRule="auto"/>
        <w:jc w:val="both"/>
      </w:pPr>
      <w:r>
        <w:rPr>
          <w:rFonts w:ascii="Times New Roman" w:hAnsi="Times New Roman" w:eastAsia="Times New Roman" w:cs="Times New Roman"/>
          <w:b w:val="0"/>
          <w:i w:val="0"/>
          <w:caps w:val="0"/>
          <w:color w:val="000000"/>
          <w:sz w:val="26"/>
        </w:rPr>
        <w:t>Vấn đề VD07 tổng hợp các tín hiệu gói chậm cuối kỳ, hành động lập kế hoạch kỳ tới ưu tiên gói chậm có hạn 07/05/2027. Rủi ro RR04 đã đóng khi các vị trí bổ sung có mặt theo sprint huy động. Mọi tín hiệu gói chậm và rủi ro đã xảy ra đều đã có vấn đề tương ứng trong sổ.</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xảy ra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đặc tả giao diện Main System nhận ngày 19/04/2027, muộn 2 ngày làm việc so với CK1. Ninh Đức Toàn đối chiếu tài liệu với danh sách thông tin còn thiếu, Trần Bá Đạt làm đặc tả giao diện tích hợp ngay khi nhận tài liệu, nhóm tích hợp tiếp tục chuẩn bị dịch vụ giả lập</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18/06/2027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18/06 đến 29/06/2027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Không có yêu cầu thay đổi trong kỳ.</w:t>
      </w: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S4: Lập trình tìm kiếm, lọc và sắp xếp sản phẩm, giữ tồn kho, theo dõi đơn hàng, hủy đơn và đổi trả, dịch vụ giả lập Main System, đồng bộ tồn kho, chuyển đơn hàng và nhận trạng thái vận chuyển theo đặc tả giao diện tích hợp đã lập, Chủ đầu tư xác nhận đặc tả giao diện tích hợp, kế hoạch kiểm thử hệ thống, kiểm thử bảo mật tài khoản và kiểm thử đặt hàng, phí vận chuyển, khuyến mại. Kế hoạch kỳ tới là 115,84 MD trên quỹ 120,00 MD.</w:t>
      </w:r>
    </w:p>
    <w:p>
      <w:pPr>
        <w:spacing w:before="0" w:after="100" w:line="300" w:lineRule="auto"/>
        <w:jc w:val="both"/>
      </w:pPr>
      <w:r>
        <w:rPr>
          <w:rFonts w:ascii="Times New Roman" w:hAnsi="Times New Roman" w:eastAsia="Times New Roman" w:cs="Times New Roman"/>
          <w:b w:val="0"/>
          <w:i w:val="0"/>
          <w:caps w:val="0"/>
          <w:color w:val="000000"/>
          <w:sz w:val="26"/>
        </w:rPr>
        <w:t>Gói ưu tiên là chuỗi găng thiết kế tích hợp, dịch vụ giả lập Main System và các gói lập trình chậm nêu trong vấn đề VD07, dùng quỹ sẵn sàng của các vị trí phía máy chủ và kiểm thử để làm bù. Mốc M3 có hạn 17/06/2027, gắn đợt thanh toán 3.</w:t>
      </w:r>
    </w:p>
    <w:p>
      <w:pPr>
        <w:spacing w:before="0" w:after="100" w:line="300" w:lineRule="auto"/>
        <w:jc w:val="both"/>
      </w:pPr>
      <w:r>
        <w:rPr>
          <w:rFonts w:ascii="Times New Roman" w:hAnsi="Times New Roman" w:eastAsia="Times New Roman" w:cs="Times New Roman"/>
          <w:b w:val="0"/>
          <w:i w:val="0"/>
          <w:caps w:val="0"/>
          <w:color w:val="000000"/>
          <w:sz w:val="26"/>
        </w:rPr>
        <w:t>Nhóm đề nghị Chủ đầu tư bàn giao môi trường thử của Main System, hoàn thành thay đổi phía Main System và bàn giao hạ tầng vận hành chính thức theo các cam kết hạn 20/05/2027, đồng thời bố trí buổi trình diễn cuối S4 có Chủ sản phẩm tham dự.</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2026-10-25T17:46:48Z</dcterms:created>
  <dcterms:modified xsi:type="dcterms:W3CDTF">2026-10-25T17:46:48Z</dcterms:modified>
  <cp:category/>
</cp:coreProperties>
</file>