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S5, ngày báo cáo 03/06/2027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03/06/2027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53/103 ngày làm việc (51,5%)</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458,07/733,00 MD (62,5%)</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0,98</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462,00/576,00 MD (80,2%)</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29/07/2027 (kế hoạch 29/07/2027, cut over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S5 ngày 03/06/2027, dự án ở trạng thái chung Xanh. SPI đạt 0,99 ở mức Xanh, CPI theo công đạt 0,99 ở mức Xanh, CPI theo chi phí thực đạt 0,98 ở mức Xanh. Giá trị thu được lũy kế 458,07 MD so với kế hoạch 463,62 MD, công thực tế 462,00 MD, khối lượng hoàn thành đạt 62,5% toàn dự án. Các gói chậm của kỳ trước được làm bù bằng quỹ sẵn sàng, phần chậm còn lại ở gói găng kiểm thử tích hợp 4.4.3 và một số gói kiểm thử, sửa lỗi phân hệ do sửa lỗi giữ tồn kho mức cao phát hiện trong kiểm thử luồng đặt hàng đầu cuối.</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29/07/2027, không muộn hơn ngày cut over 29/07/2027 theo phụ lục hợp đồng, TCPI 1,01. Tỷ lệ sử dụng quỹ huy động đạt 80,2%, còn 114,00 MD sẵn sàng không ghi công trên 576,00 MD huy động. Chi phí khác đã chi lũy kế 45.000.000 đồng, EAC theo chi phí thực 1.493,02 triệu đồng.</w:t>
      </w:r>
    </w:p>
    <w:p>
      <w:pPr>
        <w:spacing w:before="0" w:after="100" w:line="300" w:lineRule="auto"/>
        <w:jc w:val="both"/>
      </w:pPr>
      <w:r>
        <w:rPr>
          <w:rFonts w:ascii="Times New Roman" w:hAnsi="Times New Roman" w:eastAsia="Times New Roman" w:cs="Times New Roman"/>
          <w:b w:val="0"/>
          <w:i w:val="0"/>
          <w:caps w:val="0"/>
          <w:color w:val="000000"/>
          <w:sz w:val="26"/>
        </w:rPr>
        <w:t>Yêu cầu thay đổi CR01 Bán hàng trên sàn thương mại điện tử ở trạng thái Đã phê duyệt, phụ lục hợp đồng ký ngày 27/05/2027, phần thay đổi tăng 76,00 MD, giá điều chỉnh 199.024.682 đồng. Lịch, dự toán và các kế hoạch được lập lại thành đường cơ sở BL2, báo cáo này đo theo đường cơ sở đó.</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733,00</w:t>
            </w:r>
          </w:p>
        </w:tc>
        <w:tc>
          <w:tcPr>
            <w:tcW w:type="dxa" w:w="3200"/>
          </w:tcPr>
          <w:p>
            <w:pPr>
              <w:spacing w:before="0" w:after="40"/>
              <w:jc w:val="right"/>
            </w:pPr>
            <w:r>
              <w:rPr>
                <w:rFonts w:ascii="Times New Roman" w:hAnsi="Times New Roman" w:eastAsia="Times New Roman" w:cs="Times New Roman"/>
                <w:b w:val="0"/>
                <w:i w:val="0"/>
                <w:caps w:val="0"/>
                <w:color w:val="000000"/>
                <w:sz w:val="24"/>
              </w:rPr>
              <w:t>1.581.550.000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463,62</w:t>
            </w:r>
          </w:p>
        </w:tc>
        <w:tc>
          <w:tcPr>
            <w:tcW w:type="dxa" w:w="3200"/>
          </w:tcPr>
          <w:p>
            <w:pPr>
              <w:spacing w:before="0" w:after="40"/>
              <w:jc w:val="right"/>
            </w:pPr>
            <w:r>
              <w:rPr>
                <w:rFonts w:ascii="Times New Roman" w:hAnsi="Times New Roman" w:eastAsia="Times New Roman" w:cs="Times New Roman"/>
                <w:b w:val="0"/>
                <w:i w:val="0"/>
                <w:caps w:val="0"/>
                <w:color w:val="000000"/>
                <w:sz w:val="24"/>
              </w:rPr>
              <w:t>996.223.335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458,07</w:t>
            </w:r>
          </w:p>
        </w:tc>
        <w:tc>
          <w:tcPr>
            <w:tcW w:type="dxa" w:w="3200"/>
          </w:tcPr>
          <w:p>
            <w:pPr>
              <w:spacing w:before="0" w:after="40"/>
              <w:jc w:val="right"/>
            </w:pPr>
            <w:r>
              <w:rPr>
                <w:rFonts w:ascii="Times New Roman" w:hAnsi="Times New Roman" w:eastAsia="Times New Roman" w:cs="Times New Roman"/>
                <w:b w:val="0"/>
                <w:i w:val="0"/>
                <w:caps w:val="0"/>
                <w:color w:val="000000"/>
                <w:sz w:val="24"/>
              </w:rPr>
              <w:t>986.085.250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462,00</w:t>
            </w:r>
          </w:p>
        </w:tc>
        <w:tc>
          <w:tcPr>
            <w:tcW w:type="dxa" w:w="3200"/>
          </w:tcPr>
          <w:p>
            <w:pPr>
              <w:spacing w:before="0" w:after="40"/>
              <w:jc w:val="right"/>
            </w:pPr>
            <w:r>
              <w:rPr>
                <w:rFonts w:ascii="Times New Roman" w:hAnsi="Times New Roman" w:eastAsia="Times New Roman" w:cs="Times New Roman"/>
                <w:b w:val="0"/>
                <w:i w:val="0"/>
                <w:caps w:val="0"/>
                <w:color w:val="000000"/>
                <w:sz w:val="24"/>
              </w:rPr>
              <w:t>994.412.500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-5,56</w:t>
            </w:r>
          </w:p>
        </w:tc>
        <w:tc>
          <w:tcPr>
            <w:tcW w:type="dxa" w:w="3200"/>
          </w:tcPr>
          <w:p>
            <w:pPr>
              <w:spacing w:before="0" w:after="40"/>
              <w:jc w:val="right"/>
            </w:pPr>
            <w:r>
              <w:rPr>
                <w:rFonts w:ascii="Times New Roman" w:hAnsi="Times New Roman" w:eastAsia="Times New Roman" w:cs="Times New Roman"/>
                <w:b w:val="0"/>
                <w:i w:val="0"/>
                <w:caps w:val="0"/>
                <w:color w:val="000000"/>
                <w:sz w:val="24"/>
              </w:rPr>
              <w:t>âm 10.138.085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-3,93</w:t>
            </w:r>
          </w:p>
        </w:tc>
        <w:tc>
          <w:tcPr>
            <w:tcW w:type="dxa" w:w="3200"/>
          </w:tcPr>
          <w:p>
            <w:pPr>
              <w:spacing w:before="0" w:after="40"/>
              <w:jc w:val="right"/>
            </w:pPr>
            <w:r>
              <w:rPr>
                <w:rFonts w:ascii="Times New Roman" w:hAnsi="Times New Roman" w:eastAsia="Times New Roman" w:cs="Times New Roman"/>
                <w:b w:val="0"/>
                <w:i w:val="0"/>
                <w:caps w:val="0"/>
                <w:color w:val="000000"/>
                <w:sz w:val="24"/>
              </w:rPr>
              <w:t>âm 8.327.250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739,30</w:t>
            </w:r>
          </w:p>
        </w:tc>
        <w:tc>
          <w:tcPr>
            <w:tcW w:type="dxa" w:w="3200"/>
          </w:tcPr>
          <w:p>
            <w:pPr>
              <w:spacing w:before="0" w:after="40"/>
              <w:jc w:val="right"/>
            </w:pPr>
            <w:r>
              <w:rPr>
                <w:rFonts w:ascii="Times New Roman" w:hAnsi="Times New Roman" w:eastAsia="Times New Roman" w:cs="Times New Roman"/>
                <w:b w:val="0"/>
                <w:i w:val="0"/>
                <w:caps w:val="0"/>
                <w:color w:val="000000"/>
                <w:sz w:val="24"/>
              </w:rPr>
              <w:t>1.594.905.805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277,30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-6,30</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1,01</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1.327.839.441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844.263.402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831.177.329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846.353.920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15.176.591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0,98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45.000.000,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891.353.920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1.477.839.441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1.493.016.032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15.176.591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456.008.650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462,00, 114,00 (80,2%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576,00 MD, lương của toàn bộ ngày huy động cả dự án là 1.640.136.136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S5</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100"/>
          </w:tcPr>
          <w:p>
            <w:pPr>
              <w:spacing w:before="0" w:after="40"/>
              <w:jc w:val="right"/>
            </w:pPr>
            <w:r>
              <w:rPr>
                <w:rFonts w:ascii="Times New Roman" w:hAnsi="Times New Roman" w:eastAsia="Times New Roman" w:cs="Times New Roman"/>
                <w:b w:val="0"/>
                <w:i w:val="0"/>
                <w:caps w:val="0"/>
                <w:color w:val="000000"/>
                <w:sz w:val="24"/>
              </w:rPr>
              <w:t>463,62</w:t>
            </w:r>
          </w:p>
        </w:tc>
        <w:tc>
          <w:tcPr>
            <w:tcW w:type="dxa" w:w="1100"/>
          </w:tcPr>
          <w:p>
            <w:pPr>
              <w:spacing w:before="0" w:after="40"/>
              <w:jc w:val="right"/>
            </w:pPr>
            <w:r>
              <w:rPr>
                <w:rFonts w:ascii="Times New Roman" w:hAnsi="Times New Roman" w:eastAsia="Times New Roman" w:cs="Times New Roman"/>
                <w:b w:val="0"/>
                <w:i w:val="0"/>
                <w:caps w:val="0"/>
                <w:color w:val="000000"/>
                <w:sz w:val="24"/>
              </w:rPr>
              <w:t>458,07</w:t>
            </w:r>
          </w:p>
        </w:tc>
        <w:tc>
          <w:tcPr>
            <w:tcW w:type="dxa" w:w="1100"/>
          </w:tcPr>
          <w:p>
            <w:pPr>
              <w:spacing w:before="0" w:after="40"/>
              <w:jc w:val="right"/>
            </w:pPr>
            <w:r>
              <w:rPr>
                <w:rFonts w:ascii="Times New Roman" w:hAnsi="Times New Roman" w:eastAsia="Times New Roman" w:cs="Times New Roman"/>
                <w:b w:val="0"/>
                <w:i w:val="0"/>
                <w:caps w:val="0"/>
                <w:color w:val="000000"/>
                <w:sz w:val="24"/>
              </w:rPr>
              <w:t>462,00</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M9</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nghiệm thu phần bán hàng trên sàn thương mại điện tử theo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28/07/2027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04/08/2027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2.4.3</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33,0%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3.4.5</w:t>
            </w:r>
          </w:p>
        </w:tc>
        <w:tc>
          <w:tcPr>
            <w:tcW w:type="dxa" w:w="3400"/>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87,0%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02/06/2027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4.4.3</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tích hợp với Main System trên môi trường thử</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82,0%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4.5.5</w:t>
            </w:r>
          </w:p>
        </w:tc>
        <w:tc>
          <w:tcPr>
            <w:tcW w:type="dxa" w:w="3400"/>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và quyền sở hữu sản phẩm</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50,0%</w:t>
            </w:r>
          </w:p>
        </w:tc>
        <w:tc>
          <w:tcPr>
            <w:tcW w:type="dxa" w:w="19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01/06/2027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các dịch vụ và giao diện danh mục, chi tiết sản phẩm, bộ nhớ đệm trang danh mục 1.3.8, kiểm thử tìm kiếm 1.4.2 và sửa lỗi 1.4.4, dịch vụ và giao diện trang thành viên 2.3.4, 2.3.5, 2.3.7, kiểm thử đăng ký, đăng nhập 2.4.2, kế hoạch kiểm thử hệ thống 2.4.8, kiểm thử giỏ hàng 3.4.2 và luồng đặt hàng đầu cuối 3.4.6. Trên chuỗi tích hợp, chuyển đơn hàng sang Main System 4.3.7, nhận trạng thái vận chuyển 4.3.8, đồng bộ danh mục 4.3.5, công cụ chuyển đổi dữ liệu 4.3.10 và môi trường vận hành 4.5.1 hoàn thành. Phần bán hàng trên sàn bắt đầu bằng khảo sát quy trình 5.2.1.</w:t>
      </w:r>
    </w:p>
    <w:p>
      <w:pPr>
        <w:spacing w:before="0" w:after="100" w:line="300" w:lineRule="auto"/>
        <w:jc w:val="both"/>
      </w:pPr>
      <w:r>
        <w:rPr>
          <w:rFonts w:ascii="Times New Roman" w:hAnsi="Times New Roman" w:eastAsia="Times New Roman" w:cs="Times New Roman"/>
          <w:b w:val="0"/>
          <w:i w:val="0"/>
          <w:caps w:val="0"/>
          <w:color w:val="000000"/>
          <w:sz w:val="26"/>
        </w:rPr>
        <w:t>Bản phát hành R5 cuối sprint trình diễn trang chủ, danh mục và chi tiết sản phẩm, trang thành viên và sổ địa chỉ, luồng đặt hàng đầu cuối với dữ liệu giả lập Main System. Kiểm thử tích hợp với Main System 4.4.3 đạt 82,0%, tiếp tục đầu kỳ tới. Trong kỳ không có mốc đến hạn.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43,24</w:t>
            </w:r>
          </w:p>
        </w:tc>
        <w:tc>
          <w:tcPr>
            <w:tcW w:type="dxa" w:w="1300"/>
          </w:tcPr>
          <w:p>
            <w:pPr>
              <w:spacing w:before="0" w:after="40"/>
              <w:jc w:val="right"/>
            </w:pPr>
            <w:r>
              <w:rPr>
                <w:rFonts w:ascii="Times New Roman" w:hAnsi="Times New Roman" w:eastAsia="Times New Roman" w:cs="Times New Roman"/>
                <w:b w:val="0"/>
                <w:i w:val="0"/>
                <w:caps w:val="0"/>
                <w:color w:val="000000"/>
                <w:sz w:val="24"/>
              </w:rPr>
              <w:t>45,75</w:t>
            </w:r>
          </w:p>
        </w:tc>
        <w:tc>
          <w:tcPr>
            <w:tcW w:type="dxa" w:w="1300"/>
          </w:tcPr>
          <w:p>
            <w:pPr>
              <w:spacing w:before="0" w:after="40"/>
              <w:jc w:val="right"/>
            </w:pPr>
            <w:r>
              <w:rPr>
                <w:rFonts w:ascii="Times New Roman" w:hAnsi="Times New Roman" w:eastAsia="Times New Roman" w:cs="Times New Roman"/>
                <w:b w:val="0"/>
                <w:i w:val="0"/>
                <w:caps w:val="0"/>
                <w:color w:val="000000"/>
                <w:sz w:val="24"/>
              </w:rPr>
              <w:t>2,51</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36,00</w:t>
            </w:r>
          </w:p>
        </w:tc>
        <w:tc>
          <w:tcPr>
            <w:tcW w:type="dxa" w:w="1300"/>
          </w:tcPr>
          <w:p>
            <w:pPr>
              <w:spacing w:before="0" w:after="40"/>
              <w:jc w:val="right"/>
            </w:pPr>
            <w:r>
              <w:rPr>
                <w:rFonts w:ascii="Times New Roman" w:hAnsi="Times New Roman" w:eastAsia="Times New Roman" w:cs="Times New Roman"/>
                <w:b w:val="0"/>
                <w:i w:val="0"/>
                <w:caps w:val="0"/>
                <w:color w:val="000000"/>
                <w:sz w:val="24"/>
              </w:rPr>
              <w:t>36,00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17,00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47,17</w:t>
            </w:r>
          </w:p>
        </w:tc>
        <w:tc>
          <w:tcPr>
            <w:tcW w:type="dxa" w:w="1300"/>
          </w:tcPr>
          <w:p>
            <w:pPr>
              <w:spacing w:before="0" w:after="40"/>
              <w:jc w:val="right"/>
            </w:pPr>
            <w:r>
              <w:rPr>
                <w:rFonts w:ascii="Times New Roman" w:hAnsi="Times New Roman" w:eastAsia="Times New Roman" w:cs="Times New Roman"/>
                <w:b w:val="0"/>
                <w:i w:val="0"/>
                <w:caps w:val="0"/>
                <w:color w:val="000000"/>
                <w:sz w:val="24"/>
              </w:rPr>
              <w:t>45,50</w:t>
            </w:r>
          </w:p>
        </w:tc>
        <w:tc>
          <w:tcPr>
            <w:tcW w:type="dxa" w:w="1300"/>
          </w:tcPr>
          <w:p>
            <w:pPr>
              <w:spacing w:before="0" w:after="40"/>
              <w:jc w:val="right"/>
            </w:pPr>
            <w:r>
              <w:rPr>
                <w:rFonts w:ascii="Times New Roman" w:hAnsi="Times New Roman" w:eastAsia="Times New Roman" w:cs="Times New Roman"/>
                <w:b w:val="0"/>
                <w:i w:val="0"/>
                <w:caps w:val="0"/>
                <w:color w:val="000000"/>
                <w:sz w:val="24"/>
              </w:rPr>
              <w:t>-1,67</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7,50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46,00</w:t>
            </w:r>
          </w:p>
        </w:tc>
        <w:tc>
          <w:tcPr>
            <w:tcW w:type="dxa" w:w="1300"/>
          </w:tcPr>
          <w:p>
            <w:pPr>
              <w:spacing w:before="0" w:after="40"/>
              <w:jc w:val="right"/>
            </w:pPr>
            <w:r>
              <w:rPr>
                <w:rFonts w:ascii="Times New Roman" w:hAnsi="Times New Roman" w:eastAsia="Times New Roman" w:cs="Times New Roman"/>
                <w:b w:val="0"/>
                <w:i w:val="0"/>
                <w:caps w:val="0"/>
                <w:color w:val="000000"/>
                <w:sz w:val="24"/>
              </w:rPr>
              <w:t>45,50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7,50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47,00</w:t>
            </w:r>
          </w:p>
        </w:tc>
        <w:tc>
          <w:tcPr>
            <w:tcW w:type="dxa" w:w="1300"/>
          </w:tcPr>
          <w:p>
            <w:pPr>
              <w:spacing w:before="0" w:after="40"/>
              <w:jc w:val="right"/>
            </w:pPr>
            <w:r>
              <w:rPr>
                <w:rFonts w:ascii="Times New Roman" w:hAnsi="Times New Roman" w:eastAsia="Times New Roman" w:cs="Times New Roman"/>
                <w:b w:val="0"/>
                <w:i w:val="0"/>
                <w:caps w:val="0"/>
                <w:color w:val="000000"/>
                <w:sz w:val="24"/>
              </w:rPr>
              <w:t>45,75</w:t>
            </w:r>
          </w:p>
        </w:tc>
        <w:tc>
          <w:tcPr>
            <w:tcW w:type="dxa" w:w="1300"/>
          </w:tcPr>
          <w:p>
            <w:pPr>
              <w:spacing w:before="0" w:after="40"/>
              <w:jc w:val="right"/>
            </w:pPr>
            <w:r>
              <w:rPr>
                <w:rFonts w:ascii="Times New Roman" w:hAnsi="Times New Roman" w:eastAsia="Times New Roman" w:cs="Times New Roman"/>
                <w:b w:val="0"/>
                <w:i w:val="0"/>
                <w:caps w:val="0"/>
                <w:color w:val="000000"/>
                <w:sz w:val="24"/>
              </w:rPr>
              <w:t>-1,25</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47,17</w:t>
            </w:r>
          </w:p>
        </w:tc>
        <w:tc>
          <w:tcPr>
            <w:tcW w:type="dxa" w:w="1300"/>
          </w:tcPr>
          <w:p>
            <w:pPr>
              <w:spacing w:before="0" w:after="40"/>
              <w:jc w:val="right"/>
            </w:pPr>
            <w:r>
              <w:rPr>
                <w:rFonts w:ascii="Times New Roman" w:hAnsi="Times New Roman" w:eastAsia="Times New Roman" w:cs="Times New Roman"/>
                <w:b w:val="0"/>
                <w:i w:val="0"/>
                <w:caps w:val="0"/>
                <w:color w:val="000000"/>
                <w:sz w:val="24"/>
              </w:rPr>
              <w:t>48,25</w:t>
            </w:r>
          </w:p>
        </w:tc>
        <w:tc>
          <w:tcPr>
            <w:tcW w:type="dxa" w:w="1300"/>
          </w:tcPr>
          <w:p>
            <w:pPr>
              <w:spacing w:before="0" w:after="40"/>
              <w:jc w:val="right"/>
            </w:pPr>
            <w:r>
              <w:rPr>
                <w:rFonts w:ascii="Times New Roman" w:hAnsi="Times New Roman" w:eastAsia="Times New Roman" w:cs="Times New Roman"/>
                <w:b w:val="0"/>
                <w:i w:val="0"/>
                <w:caps w:val="0"/>
                <w:color w:val="000000"/>
                <w:sz w:val="24"/>
              </w:rPr>
              <w:t>1,08</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4,75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37,50</w:t>
            </w:r>
          </w:p>
        </w:tc>
        <w:tc>
          <w:tcPr>
            <w:tcW w:type="dxa" w:w="1300"/>
          </w:tcPr>
          <w:p>
            <w:pPr>
              <w:spacing w:before="0" w:after="40"/>
              <w:jc w:val="right"/>
            </w:pPr>
            <w:r>
              <w:rPr>
                <w:rFonts w:ascii="Times New Roman" w:hAnsi="Times New Roman" w:eastAsia="Times New Roman" w:cs="Times New Roman"/>
                <w:b w:val="0"/>
                <w:i w:val="0"/>
                <w:caps w:val="0"/>
                <w:color w:val="000000"/>
                <w:sz w:val="24"/>
              </w:rPr>
              <w:t>37,50</w:t>
            </w:r>
          </w:p>
        </w:tc>
        <w:tc>
          <w:tcPr>
            <w:tcW w:type="dxa" w:w="1300"/>
          </w:tcPr>
          <w:p>
            <w:pPr>
              <w:spacing w:before="0" w:after="40"/>
              <w:jc w:val="right"/>
            </w:pPr>
            <w:r>
              <w:rPr>
                <w:rFonts w:ascii="Times New Roman" w:hAnsi="Times New Roman" w:eastAsia="Times New Roman" w:cs="Times New Roman"/>
                <w:b w:val="0"/>
                <w:i w:val="0"/>
                <w:caps w:val="0"/>
                <w:color w:val="000000"/>
                <w:sz w:val="24"/>
              </w:rPr>
              <w:t>0,00</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15,50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36,00</w:t>
            </w:r>
          </w:p>
        </w:tc>
        <w:tc>
          <w:tcPr>
            <w:tcW w:type="dxa" w:w="1300"/>
          </w:tcPr>
          <w:p>
            <w:pPr>
              <w:spacing w:before="0" w:after="40"/>
              <w:jc w:val="right"/>
            </w:pPr>
            <w:r>
              <w:rPr>
                <w:rFonts w:ascii="Times New Roman" w:hAnsi="Times New Roman" w:eastAsia="Times New Roman" w:cs="Times New Roman"/>
                <w:b w:val="0"/>
                <w:i w:val="0"/>
                <w:caps w:val="0"/>
                <w:color w:val="000000"/>
                <w:sz w:val="24"/>
              </w:rPr>
              <w:t>35,25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7,75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33,50</w:t>
            </w:r>
          </w:p>
        </w:tc>
        <w:tc>
          <w:tcPr>
            <w:tcW w:type="dxa" w:w="1300"/>
          </w:tcPr>
          <w:p>
            <w:pPr>
              <w:spacing w:before="0" w:after="40"/>
              <w:jc w:val="right"/>
            </w:pPr>
            <w:r>
              <w:rPr>
                <w:rFonts w:ascii="Times New Roman" w:hAnsi="Times New Roman" w:eastAsia="Times New Roman" w:cs="Times New Roman"/>
                <w:b w:val="0"/>
                <w:i w:val="0"/>
                <w:caps w:val="0"/>
                <w:color w:val="000000"/>
                <w:sz w:val="24"/>
              </w:rPr>
              <w:t>34,25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53,00</w:t>
            </w:r>
          </w:p>
        </w:tc>
        <w:tc>
          <w:tcPr>
            <w:tcW w:type="dxa" w:w="1500"/>
          </w:tcPr>
          <w:p>
            <w:pPr>
              <w:spacing w:before="0" w:after="40"/>
              <w:jc w:val="right"/>
            </w:pPr>
            <w:r>
              <w:rPr>
                <w:rFonts w:ascii="Times New Roman" w:hAnsi="Times New Roman" w:eastAsia="Times New Roman" w:cs="Times New Roman"/>
                <w:b w:val="0"/>
                <w:i w:val="0"/>
                <w:caps w:val="0"/>
                <w:color w:val="000000"/>
                <w:sz w:val="24"/>
              </w:rPr>
              <w:t>18,75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32,00</w:t>
            </w:r>
          </w:p>
        </w:tc>
        <w:tc>
          <w:tcPr>
            <w:tcW w:type="dxa" w:w="1300"/>
          </w:tcPr>
          <w:p>
            <w:pPr>
              <w:spacing w:before="0" w:after="40"/>
              <w:jc w:val="right"/>
            </w:pPr>
            <w:r>
              <w:rPr>
                <w:rFonts w:ascii="Times New Roman" w:hAnsi="Times New Roman" w:eastAsia="Times New Roman" w:cs="Times New Roman"/>
                <w:b w:val="0"/>
                <w:i w:val="0"/>
                <w:caps w:val="0"/>
                <w:color w:val="000000"/>
                <w:sz w:val="24"/>
              </w:rPr>
              <w:t>32,75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10,25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24,98</w:t>
            </w:r>
          </w:p>
        </w:tc>
        <w:tc>
          <w:tcPr>
            <w:tcW w:type="dxa" w:w="1300"/>
          </w:tcPr>
          <w:p>
            <w:pPr>
              <w:spacing w:before="0" w:after="40"/>
              <w:jc w:val="right"/>
            </w:pPr>
            <w:r>
              <w:rPr>
                <w:rFonts w:ascii="Times New Roman" w:hAnsi="Times New Roman" w:eastAsia="Times New Roman" w:cs="Times New Roman"/>
                <w:b w:val="0"/>
                <w:i w:val="0"/>
                <w:caps w:val="0"/>
                <w:color w:val="000000"/>
                <w:sz w:val="24"/>
              </w:rPr>
              <w:t>23,25</w:t>
            </w:r>
          </w:p>
        </w:tc>
        <w:tc>
          <w:tcPr>
            <w:tcW w:type="dxa" w:w="1300"/>
          </w:tcPr>
          <w:p>
            <w:pPr>
              <w:spacing w:before="0" w:after="40"/>
              <w:jc w:val="right"/>
            </w:pPr>
            <w:r>
              <w:rPr>
                <w:rFonts w:ascii="Times New Roman" w:hAnsi="Times New Roman" w:eastAsia="Times New Roman" w:cs="Times New Roman"/>
                <w:b w:val="0"/>
                <w:i w:val="0"/>
                <w:caps w:val="0"/>
                <w:color w:val="000000"/>
                <w:sz w:val="24"/>
              </w:rPr>
              <w:t>-1,73</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9,75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33,00</w:t>
            </w:r>
          </w:p>
        </w:tc>
        <w:tc>
          <w:tcPr>
            <w:tcW w:type="dxa" w:w="1300"/>
          </w:tcPr>
          <w:p>
            <w:pPr>
              <w:spacing w:before="0" w:after="40"/>
              <w:jc w:val="right"/>
            </w:pPr>
            <w:r>
              <w:rPr>
                <w:rFonts w:ascii="Times New Roman" w:hAnsi="Times New Roman" w:eastAsia="Times New Roman" w:cs="Times New Roman"/>
                <w:b w:val="0"/>
                <w:i w:val="0"/>
                <w:caps w:val="0"/>
                <w:color w:val="000000"/>
                <w:sz w:val="24"/>
              </w:rPr>
              <w:t>32,25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0,75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463,56</w:t>
            </w:r>
          </w:p>
        </w:tc>
        <w:tc>
          <w:tcPr>
            <w:tcW w:type="dxa" w:w="1300"/>
          </w:tcPr>
          <w:p>
            <w:pPr>
              <w:spacing w:before="0" w:after="40"/>
              <w:jc w:val="right"/>
            </w:pPr>
            <w:r>
              <w:rPr>
                <w:rFonts w:ascii="Times New Roman" w:hAnsi="Times New Roman" w:eastAsia="Times New Roman" w:cs="Times New Roman"/>
                <w:b w:val="0"/>
                <w:i w:val="0"/>
                <w:caps w:val="0"/>
                <w:color w:val="000000"/>
                <w:sz w:val="24"/>
              </w:rPr>
              <w:t>462,00</w:t>
            </w:r>
          </w:p>
        </w:tc>
        <w:tc>
          <w:tcPr>
            <w:tcW w:type="dxa" w:w="1300"/>
          </w:tcPr>
          <w:p>
            <w:pPr>
              <w:spacing w:before="0" w:after="40"/>
              <w:jc w:val="right"/>
            </w:pPr>
            <w:r>
              <w:rPr>
                <w:rFonts w:ascii="Times New Roman" w:hAnsi="Times New Roman" w:eastAsia="Times New Roman" w:cs="Times New Roman"/>
                <w:b w:val="0"/>
                <w:i w:val="0"/>
                <w:caps w:val="0"/>
                <w:color w:val="000000"/>
                <w:sz w:val="24"/>
              </w:rPr>
              <w:t>-1,56</w:t>
            </w:r>
          </w:p>
        </w:tc>
        <w:tc>
          <w:tcPr>
            <w:tcW w:type="dxa" w:w="1400"/>
          </w:tcPr>
          <w:p>
            <w:pPr>
              <w:spacing w:before="0" w:after="40"/>
              <w:jc w:val="right"/>
            </w:pPr>
            <w:r>
              <w:rPr>
                <w:rFonts w:ascii="Times New Roman" w:hAnsi="Times New Roman" w:eastAsia="Times New Roman" w:cs="Times New Roman"/>
                <w:b w:val="0"/>
                <w:i w:val="0"/>
                <w:caps w:val="0"/>
                <w:color w:val="000000"/>
                <w:sz w:val="24"/>
              </w:rPr>
              <w:t>576,00</w:t>
            </w:r>
          </w:p>
        </w:tc>
        <w:tc>
          <w:tcPr>
            <w:tcW w:type="dxa" w:w="1500"/>
          </w:tcPr>
          <w:p>
            <w:pPr>
              <w:spacing w:before="0" w:after="40"/>
              <w:jc w:val="right"/>
            </w:pPr>
            <w:r>
              <w:rPr>
                <w:rFonts w:ascii="Times New Roman" w:hAnsi="Times New Roman" w:eastAsia="Times New Roman" w:cs="Times New Roman"/>
                <w:b w:val="0"/>
                <w:i w:val="0"/>
                <w:caps w:val="0"/>
                <w:color w:val="000000"/>
                <w:sz w:val="24"/>
              </w:rPr>
              <w:t>114,00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10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ưu tiên cao 1</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1,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VD08</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đề nghị bổ sung bán hàng trên sàn thương mại điện tử tại buổi trình diễn cuối S4, yêu cầu ngoài phạm vi hợp đồng cần đánh giá tác động đến cut over, giá và các mốc thanh toán</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CR01</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VD09</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1.3.4, 1.3.7, 1.4.2, 2.3.4, 2.3.5, 2.3.7, 2.4.2, 2.4.8, 3.4.2, 4.3.5, gói găng 4.3.8, gói 4.5.1 và các gói quản lý 4.1.1, 4.1.2, 4.1.3 chậm so với kế hoạch cuối S4 do phần làm bù của S3 dồn sang, dịch vụ đổi trả 3.3.7 vượt công và sửa lỗi phát hiện trong kiểm thử</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28/05/2027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VD10</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2.4.3, 3.4.5, 4.5.5 và gói găng 4.4.3 kiểm thử tích hợp với Main System chưa hoàn thành cuối S5 do sửa lỗi giữ tồn kho mức cao của 3.4.6 và làm bù gói chậm của S4 chiếm quỹ của nhóm kiểm thử</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10/06/2027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HD11</w:t>
            </w:r>
          </w:p>
        </w:tc>
        <w:tc>
          <w:tcPr>
            <w:tcW w:type="dxa" w:w="800"/>
          </w:tcPr>
          <w:p>
            <w:pPr>
              <w:spacing w:before="0" w:after="40"/>
              <w:jc w:val="center"/>
            </w:pPr>
            <w:r>
              <w:rPr>
                <w:rFonts w:ascii="Times New Roman" w:hAnsi="Times New Roman" w:eastAsia="Times New Roman" w:cs="Times New Roman"/>
                <w:b w:val="0"/>
                <w:i w:val="0"/>
                <w:caps w:val="0"/>
                <w:color w:val="000000"/>
                <w:sz w:val="24"/>
              </w:rPr>
              <w:t>VD08</w:t>
            </w:r>
          </w:p>
        </w:tc>
        <w:tc>
          <w:tcPr>
            <w:tcW w:type="dxa" w:w="3500"/>
          </w:tcPr>
          <w:p>
            <w:pPr>
              <w:spacing w:before="0" w:after="40"/>
              <w:jc w:val="left"/>
            </w:pPr>
            <w:r>
              <w:rPr>
                <w:rFonts w:ascii="Times New Roman" w:hAnsi="Times New Roman" w:eastAsia="Times New Roman" w:cs="Times New Roman"/>
                <w:b w:val="0"/>
                <w:i w:val="0"/>
                <w:caps w:val="0"/>
                <w:color w:val="000000"/>
                <w:sz w:val="24"/>
              </w:rPr>
              <w:t>Lập phiếu yêu cầu thay đổi CR01 và đánh giá tác động theo quy trình quản lý thay đổi</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25/05/2027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HD12</w:t>
            </w:r>
          </w:p>
        </w:tc>
        <w:tc>
          <w:tcPr>
            <w:tcW w:type="dxa" w:w="800"/>
          </w:tcPr>
          <w:p>
            <w:pPr>
              <w:spacing w:before="0" w:after="40"/>
              <w:jc w:val="center"/>
            </w:pPr>
            <w:r>
              <w:rPr>
                <w:rFonts w:ascii="Times New Roman" w:hAnsi="Times New Roman" w:eastAsia="Times New Roman" w:cs="Times New Roman"/>
                <w:b w:val="0"/>
                <w:i w:val="0"/>
                <w:caps w:val="0"/>
                <w:color w:val="000000"/>
                <w:sz w:val="24"/>
              </w:rPr>
              <w:t>VD09</w:t>
            </w:r>
          </w:p>
        </w:tc>
        <w:tc>
          <w:tcPr>
            <w:tcW w:type="dxa" w:w="3500"/>
          </w:tcPr>
          <w:p>
            <w:pPr>
              <w:spacing w:before="0" w:after="40"/>
              <w:jc w:val="left"/>
            </w:pPr>
            <w:r>
              <w:rPr>
                <w:rFonts w:ascii="Times New Roman" w:hAnsi="Times New Roman" w:eastAsia="Times New Roman" w:cs="Times New Roman"/>
                <w:b w:val="0"/>
                <w:i w:val="0"/>
                <w:caps w:val="0"/>
                <w:color w:val="000000"/>
                <w:sz w:val="24"/>
              </w:rPr>
              <w:t>Lập kế hoạch S5 ưu tiên gói găng 4.3.8 và các gói kiểm thử phân hệ, đối chiếu với lịch lập lại sau đánh giá yêu cầu thay đổi CR01</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HD13</w:t>
            </w:r>
          </w:p>
        </w:tc>
        <w:tc>
          <w:tcPr>
            <w:tcW w:type="dxa" w:w="800"/>
          </w:tcPr>
          <w:p>
            <w:pPr>
              <w:spacing w:before="0" w:after="40"/>
              <w:jc w:val="center"/>
            </w:pPr>
            <w:r>
              <w:rPr>
                <w:rFonts w:ascii="Times New Roman" w:hAnsi="Times New Roman" w:eastAsia="Times New Roman" w:cs="Times New Roman"/>
                <w:b w:val="0"/>
                <w:i w:val="0"/>
                <w:caps w:val="0"/>
                <w:color w:val="000000"/>
                <w:sz w:val="24"/>
              </w:rPr>
              <w:t>VD10</w:t>
            </w:r>
          </w:p>
        </w:tc>
        <w:tc>
          <w:tcPr>
            <w:tcW w:type="dxa" w:w="3500"/>
          </w:tcPr>
          <w:p>
            <w:pPr>
              <w:spacing w:before="0" w:after="40"/>
              <w:jc w:val="left"/>
            </w:pPr>
            <w:r>
              <w:rPr>
                <w:rFonts w:ascii="Times New Roman" w:hAnsi="Times New Roman" w:eastAsia="Times New Roman" w:cs="Times New Roman"/>
                <w:b w:val="0"/>
                <w:i w:val="0"/>
                <w:caps w:val="0"/>
                <w:color w:val="000000"/>
                <w:sz w:val="24"/>
              </w:rPr>
              <w:t>Ưu tiên đầu S6 cho gói găng 4.4.3 và sửa lỗi tích hợp, Phạm Ngọc Anh tập trung kiểm thử tích hợp, Nguyễn Thị Phương Liên hỗ trợ hoàn thành 2.4.3</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04/06/2027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2.4.3 Kiểm thử thông tin thành viên, sổ địa chỉ và đồng ý điều khoản: hoàn thành 33%,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VD10</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3.4.5 Sửa lỗi và kiểm thử lại giỏ hàng và giữ tồn kho: hoàn thành 87%,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VD10</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4.4.3 Kiểm thử tích hợp với Main System trên môi trường thử: hoàn thành 82%,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VD10</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4.5.5 Rà soát giấy phép thư viện mã nguồn mở và quyền sở hữu sản phẩm: hoàn thành 50%,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VD10</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5600"/>
          </w:tcPr>
          <w:p>
            <w:pPr>
              <w:spacing w:before="0" w:after="40"/>
              <w:jc w:val="left"/>
            </w:pPr>
            <w:r>
              <w:rPr>
                <w:rFonts w:ascii="Times New Roman" w:hAnsi="Times New Roman" w:eastAsia="Times New Roman" w:cs="Times New Roman"/>
                <w:b w:val="0"/>
                <w:i w:val="0"/>
                <w:caps w:val="0"/>
                <w:color w:val="000000"/>
                <w:sz w:val="24"/>
              </w:rPr>
              <w:t>Rủi ro RR02: Tài liệu giao diện hoặc môi trường thử của Main System đến muộn hơn cam kết hoặc không đủ thông tin</w:t>
            </w:r>
          </w:p>
        </w:tc>
        <w:tc>
          <w:tcPr>
            <w:tcW w:type="dxa" w:w="1900"/>
          </w:tcPr>
          <w:p>
            <w:pPr>
              <w:spacing w:before="0" w:after="40"/>
              <w:jc w:val="left"/>
            </w:pPr>
            <w:r>
              <w:rPr>
                <w:rFonts w:ascii="Times New Roman" w:hAnsi="Times New Roman" w:eastAsia="Times New Roman" w:cs="Times New Roman"/>
                <w:b w:val="0"/>
                <w:i w:val="0"/>
                <w:caps w:val="0"/>
                <w:color w:val="000000"/>
                <w:sz w:val="24"/>
              </w:rPr>
              <w:t>Chưa ghi sổ</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10 vấn đề, đã đóng 9, còn mở 1.</w:t>
      </w:r>
    </w:p>
    <w:p>
      <w:pPr>
        <w:spacing w:before="0" w:after="100" w:line="300" w:lineRule="auto"/>
        <w:jc w:val="both"/>
      </w:pPr>
      <w:r>
        <w:rPr>
          <w:rFonts w:ascii="Times New Roman" w:hAnsi="Times New Roman" w:eastAsia="Times New Roman" w:cs="Times New Roman"/>
          <w:b w:val="0"/>
          <w:i w:val="0"/>
          <w:caps w:val="0"/>
          <w:color w:val="000000"/>
          <w:sz w:val="26"/>
        </w:rPr>
        <w:t>Vấn đề VD08 của yêu cầu thay đổi CR01 đã đóng khi phụ lục hợp đồng được ký, vấn đề VD09 đóng khi các gói chậm của kỳ trước hoàn thành.</w:t>
      </w:r>
    </w:p>
    <w:p>
      <w:pPr>
        <w:spacing w:before="0" w:after="100" w:line="300" w:lineRule="auto"/>
        <w:jc w:val="both"/>
      </w:pPr>
      <w:r>
        <w:rPr>
          <w:rFonts w:ascii="Times New Roman" w:hAnsi="Times New Roman" w:eastAsia="Times New Roman" w:cs="Times New Roman"/>
          <w:b w:val="0"/>
          <w:i w:val="0"/>
          <w:caps w:val="0"/>
          <w:color w:val="000000"/>
          <w:sz w:val="26"/>
        </w:rPr>
        <w:t>Vấn đề VD10 ưu tiên cao ghi nhận các gói chậm cuối kỳ gồm gói găng 4.4.3, hành động ưu tiên kiểm thử tích hợp đầu kỳ tới có hạn 04/06/2027. Rủi ro RR02 về tài liệu và môi trường Main System đã xảy ra từ kỳ S3, tiếp tục theo dõi theo kế hoạch ứng phó đến khi kiểm thử tích hợp đạt, quản trị dự án ghi nhận tín hiệu này vào sổ vấn đề cùng vấn đề VD10.</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đặc tả giao diện Main System nhận ngày 19/04/2027, muộn 2 ngày làm việc so với CK1. Ninh Đức Toàn đối chiếu tài liệu với danh sách thông tin còn thiếu, Trần Bá Đạt làm đặc tả giao diện tích hợp ngay khi nhận tài liệu, nhóm tích hợp tiếp tục chuẩn bị dịch vụ giả lập</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biên bản xác nhận đặc tả (M2) ký ngày 06/05/2027, không còn yêu cầu sửa đổi đặc tả đã xác nhận đang mở (CR01 là bổ sung phạm vi theo phụ lục)</w:t>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 Chủ đầu tư bàn giao môi trường thử Main System đúng hạn 20/05/2027, không sớm hơn, kiểm thử tích hợp 4.4.3 đã bắt đầu</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phê duyệt</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S6 theo master schedule hiện hành: Kiểm thử trang chủ, danh mục, chi tiết sản phẩm, tương thích trình duyệt và thiết bị, kiểm thử hiệu năng, kiểm thử theo dõi đơn hàng và đổi trả, kiểm thử khả năng sử dụng và rà soát lỗ hổng bảo mật, sửa lỗi tích hợp, kịch bản kiểm thử hệ thống đầu cuối, hướng dẫn vận hành, tài liệu hướng dẫn sử dụng, giám sát và sao lưu tự động, chuyển đổi thử dữ liệu (CK3), cùng với đặc tả, thiết kế tích hợp, kết nối sàn, đồng bộ tồn kho, nhận đơn hàng từ sàn và kịch bản kiểm thử bán hàng trên sàn (CR01). Kế hoạch kỳ tới là 90,87 MD trên quỹ 120,00 MD.</w:t>
      </w:r>
    </w:p>
    <w:p>
      <w:pPr>
        <w:spacing w:before="0" w:after="100" w:line="300" w:lineRule="auto"/>
        <w:jc w:val="both"/>
      </w:pPr>
      <w:r>
        <w:rPr>
          <w:rFonts w:ascii="Times New Roman" w:hAnsi="Times New Roman" w:eastAsia="Times New Roman" w:cs="Times New Roman"/>
          <w:b w:val="0"/>
          <w:i w:val="0"/>
          <w:caps w:val="0"/>
          <w:color w:val="000000"/>
          <w:sz w:val="26"/>
        </w:rPr>
        <w:t>Gói ưu tiên là gói găng kiểm thử tích hợp với Main System 4.4.3 và sửa lỗi tích hợp, các gói kiểm thử phân hệ chậm nêu trong vấn đề VD10. Phần bán hàng trên sàn thực hiện đặc tả và thiết kế tích hợp 5.2.2, 5.2.3. Nhóm đề nghị Chủ đầu tư cấp tài khoản người bán và môi trường thử của sàn theo cam kết CK10 và bố trí người xác nhận đặc tả phần sàn 5.2.4.</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2026-10-25T17:51:26Z</dcterms:created>
  <dcterms:modified xsi:type="dcterms:W3CDTF">2026-10-25T17:51:26Z</dcterms:modified>
  <cp:category/>
</cp:coreProperties>
</file>