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S7, ngày báo cáo 01/07/2027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01/07/2027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73/103 ngày làm việc (70,9%)</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606,82/733,00 MD (82,8%)</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610,50/765,00 MD (79,8%)</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29/07/2027 (kế hoạch 29/07/2027, cut over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S7 ngày 01/07/2027, dự án ở trạng thái chung Xanh. SPI đạt 0,99 ở mức Xanh, CPI theo công đạt 0,99 ở mức Xanh, CPI theo chi phí thực đạt 0,99 ở mức Xanh. Giá trị thu được lũy kế 606,82 MD so với kế hoạch 615,95 MD, công thực tế 610,50 MD, khối lượng hoàn thành đạt 82,8% toàn dự án. Rủi ro RR06 về thời gian phản hồi đã xảy ra trong kiểm thử hiệu năng, nhóm tối ưu truy vấn và bộ nhớ đệm theo kế hoạch ứng phó. Phần chậm còn lại ở các gói còn việc của thành viên không huy động trong kỳ và kiểm thử hệ thống phần sàn.</w:t>
      </w:r>
    </w:p>
    <w:p>
      <w:pPr>
        <w:spacing w:before="0" w:after="100" w:line="300" w:lineRule="auto"/>
        <w:jc w:val="both"/>
      </w:pPr>
      <w:r>
        <w:rPr>
          <w:rFonts w:ascii="Times New Roman" w:hAnsi="Times New Roman" w:eastAsia="Times New Roman" w:cs="Times New Roman"/>
          <w:b w:val="0"/>
          <w:i w:val="0"/>
          <w:caps w:val="0"/>
          <w:color w:val="000000"/>
          <w:sz w:val="26"/>
        </w:rPr>
        <w:t>Ngày hoàn thành dự báo 29/07/2027, không muộn hơn ngày cut over 29/07/2027 theo phụ lục hợp đồng, TCPI 1,03. Tỷ lệ sử dụng quỹ huy động đạt 79,8%, còn 154,50 MD sẵn sàng không ghi công trên 765,00 MD huy động. Chi phí khác đã chi lũy kế 60.000.000 đồng, EAC theo chi phí thực 1.491,85 triệu đồng.</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615,95</w:t>
            </w:r>
          </w:p>
        </w:tc>
        <w:tc>
          <w:tcPr>
            <w:tcW w:type="dxa" w:w="3200"/>
          </w:tcPr>
          <w:p>
            <w:pPr>
              <w:spacing w:before="0" w:after="40"/>
              <w:jc w:val="right"/>
            </w:pPr>
            <w:r>
              <w:rPr>
                <w:rFonts w:ascii="Times New Roman" w:hAnsi="Times New Roman" w:eastAsia="Times New Roman" w:cs="Times New Roman"/>
                <w:b w:val="0"/>
                <w:i w:val="0"/>
                <w:caps w:val="0"/>
                <w:color w:val="000000"/>
                <w:sz w:val="24"/>
              </w:rPr>
              <w:t>1.324.563.978</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606,82</w:t>
            </w:r>
          </w:p>
        </w:tc>
        <w:tc>
          <w:tcPr>
            <w:tcW w:type="dxa" w:w="3200"/>
          </w:tcPr>
          <w:p>
            <w:pPr>
              <w:spacing w:before="0" w:after="40"/>
              <w:jc w:val="right"/>
            </w:pPr>
            <w:r>
              <w:rPr>
                <w:rFonts w:ascii="Times New Roman" w:hAnsi="Times New Roman" w:eastAsia="Times New Roman" w:cs="Times New Roman"/>
                <w:b w:val="0"/>
                <w:i w:val="0"/>
                <w:caps w:val="0"/>
                <w:color w:val="000000"/>
                <w:sz w:val="24"/>
              </w:rPr>
              <w:t>1.305.788.500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610,50</w:t>
            </w:r>
          </w:p>
        </w:tc>
        <w:tc>
          <w:tcPr>
            <w:tcW w:type="dxa" w:w="3200"/>
          </w:tcPr>
          <w:p>
            <w:pPr>
              <w:spacing w:before="0" w:after="40"/>
              <w:jc w:val="right"/>
            </w:pPr>
            <w:r>
              <w:rPr>
                <w:rFonts w:ascii="Times New Roman" w:hAnsi="Times New Roman" w:eastAsia="Times New Roman" w:cs="Times New Roman"/>
                <w:b w:val="0"/>
                <w:i w:val="0"/>
                <w:caps w:val="0"/>
                <w:color w:val="000000"/>
                <w:sz w:val="24"/>
              </w:rPr>
              <w:t>1.313.650.000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-9,13</w:t>
            </w:r>
          </w:p>
        </w:tc>
        <w:tc>
          <w:tcPr>
            <w:tcW w:type="dxa" w:w="3200"/>
          </w:tcPr>
          <w:p>
            <w:pPr>
              <w:spacing w:before="0" w:after="40"/>
              <w:jc w:val="right"/>
            </w:pPr>
            <w:r>
              <w:rPr>
                <w:rFonts w:ascii="Times New Roman" w:hAnsi="Times New Roman" w:eastAsia="Times New Roman" w:cs="Times New Roman"/>
                <w:b w:val="0"/>
                <w:i w:val="0"/>
                <w:caps w:val="0"/>
                <w:color w:val="000000"/>
                <w:sz w:val="24"/>
              </w:rPr>
              <w:t>âm 18.775.478</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-3,68</w:t>
            </w:r>
          </w:p>
        </w:tc>
        <w:tc>
          <w:tcPr>
            <w:tcW w:type="dxa" w:w="3200"/>
          </w:tcPr>
          <w:p>
            <w:pPr>
              <w:spacing w:before="0" w:after="40"/>
              <w:jc w:val="right"/>
            </w:pPr>
            <w:r>
              <w:rPr>
                <w:rFonts w:ascii="Times New Roman" w:hAnsi="Times New Roman" w:eastAsia="Times New Roman" w:cs="Times New Roman"/>
                <w:b w:val="0"/>
                <w:i w:val="0"/>
                <w:caps w:val="0"/>
                <w:color w:val="000000"/>
                <w:sz w:val="24"/>
              </w:rPr>
              <w:t>âm 7.861.500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737,45</w:t>
            </w:r>
          </w:p>
        </w:tc>
        <w:tc>
          <w:tcPr>
            <w:tcW w:type="dxa" w:w="3200"/>
          </w:tcPr>
          <w:p>
            <w:pPr>
              <w:spacing w:before="0" w:after="40"/>
              <w:jc w:val="right"/>
            </w:pPr>
            <w:r>
              <w:rPr>
                <w:rFonts w:ascii="Times New Roman" w:hAnsi="Times New Roman" w:eastAsia="Times New Roman" w:cs="Times New Roman"/>
                <w:b w:val="0"/>
                <w:i w:val="0"/>
                <w:caps w:val="0"/>
                <w:color w:val="000000"/>
                <w:sz w:val="24"/>
              </w:rPr>
              <w:t>1.591.071.722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126,95</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-4,45</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1,03</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1.109.381.975</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1.091.759.671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1.105.774.091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14.014.420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0,99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60.000.000,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1.165.774.091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1.477.839.441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1.491.853.861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14.014.420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457.170.821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610,50, 154,50 (79,8%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765,00 MD, lương của toàn bộ ngày huy động cả dự án là 1.640.136.136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0,947</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S5</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463,62</w:t>
            </w:r>
          </w:p>
        </w:tc>
        <w:tc>
          <w:tcPr>
            <w:tcW w:type="dxa" w:w="1100"/>
          </w:tcPr>
          <w:p>
            <w:pPr>
              <w:spacing w:before="0" w:after="40"/>
              <w:jc w:val="right"/>
            </w:pPr>
            <w:r>
              <w:rPr>
                <w:rFonts w:ascii="Times New Roman" w:hAnsi="Times New Roman" w:eastAsia="Times New Roman" w:cs="Times New Roman"/>
                <w:b w:val="0"/>
                <w:i w:val="0"/>
                <w:caps w:val="0"/>
                <w:color w:val="000000"/>
                <w:sz w:val="24"/>
              </w:rPr>
              <w:t>458,07</w:t>
            </w:r>
          </w:p>
        </w:tc>
        <w:tc>
          <w:tcPr>
            <w:tcW w:type="dxa" w:w="1100"/>
          </w:tcPr>
          <w:p>
            <w:pPr>
              <w:spacing w:before="0" w:after="40"/>
              <w:jc w:val="right"/>
            </w:pPr>
            <w:r>
              <w:rPr>
                <w:rFonts w:ascii="Times New Roman" w:hAnsi="Times New Roman" w:eastAsia="Times New Roman" w:cs="Times New Roman"/>
                <w:b w:val="0"/>
                <w:i w:val="0"/>
                <w:caps w:val="0"/>
                <w:color w:val="000000"/>
                <w:sz w:val="24"/>
              </w:rPr>
              <w:t>462,00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554,76</w:t>
            </w:r>
          </w:p>
        </w:tc>
        <w:tc>
          <w:tcPr>
            <w:tcW w:type="dxa" w:w="1100"/>
          </w:tcPr>
          <w:p>
            <w:pPr>
              <w:spacing w:before="0" w:after="40"/>
              <w:jc w:val="right"/>
            </w:pPr>
            <w:r>
              <w:rPr>
                <w:rFonts w:ascii="Times New Roman" w:hAnsi="Times New Roman" w:eastAsia="Times New Roman" w:cs="Times New Roman"/>
                <w:b w:val="0"/>
                <w:i w:val="0"/>
                <w:caps w:val="0"/>
                <w:color w:val="000000"/>
                <w:sz w:val="24"/>
              </w:rPr>
              <w:t>545,34</w:t>
            </w:r>
          </w:p>
        </w:tc>
        <w:tc>
          <w:tcPr>
            <w:tcW w:type="dxa" w:w="1100"/>
          </w:tcPr>
          <w:p>
            <w:pPr>
              <w:spacing w:before="0" w:after="40"/>
              <w:jc w:val="right"/>
            </w:pPr>
            <w:r>
              <w:rPr>
                <w:rFonts w:ascii="Times New Roman" w:hAnsi="Times New Roman" w:eastAsia="Times New Roman" w:cs="Times New Roman"/>
                <w:b w:val="0"/>
                <w:i w:val="0"/>
                <w:caps w:val="0"/>
                <w:color w:val="000000"/>
                <w:sz w:val="24"/>
              </w:rPr>
              <w:t>549,75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615,95</w:t>
            </w:r>
          </w:p>
        </w:tc>
        <w:tc>
          <w:tcPr>
            <w:tcW w:type="dxa" w:w="1100"/>
          </w:tcPr>
          <w:p>
            <w:pPr>
              <w:spacing w:before="0" w:after="40"/>
              <w:jc w:val="right"/>
            </w:pPr>
            <w:r>
              <w:rPr>
                <w:rFonts w:ascii="Times New Roman" w:hAnsi="Times New Roman" w:eastAsia="Times New Roman" w:cs="Times New Roman"/>
                <w:b w:val="0"/>
                <w:i w:val="0"/>
                <w:caps w:val="0"/>
                <w:color w:val="000000"/>
                <w:sz w:val="24"/>
              </w:rPr>
              <w:t>606,82</w:t>
            </w:r>
          </w:p>
        </w:tc>
        <w:tc>
          <w:tcPr>
            <w:tcW w:type="dxa" w:w="1100"/>
          </w:tcPr>
          <w:p>
            <w:pPr>
              <w:spacing w:before="0" w:after="40"/>
              <w:jc w:val="right"/>
            </w:pPr>
            <w:r>
              <w:rPr>
                <w:rFonts w:ascii="Times New Roman" w:hAnsi="Times New Roman" w:eastAsia="Times New Roman" w:cs="Times New Roman"/>
                <w:b w:val="0"/>
                <w:i w:val="0"/>
                <w:caps w:val="0"/>
                <w:color w:val="000000"/>
                <w:sz w:val="24"/>
              </w:rPr>
              <w:t>610,50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400"/>
        <w:gridCol w:w="1000"/>
        <w:gridCol w:w="1000"/>
        <w:gridCol w:w="1900"/>
        <w:gridCol w:w="12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34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1.4.6</w:t>
            </w:r>
          </w:p>
        </w:tc>
        <w:tc>
          <w:tcPr>
            <w:tcW w:type="dxa" w:w="3400"/>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75,0%</w:t>
            </w:r>
          </w:p>
        </w:tc>
        <w:tc>
          <w:tcPr>
            <w:tcW w:type="dxa" w:w="19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200"/>
          </w:tcPr>
          <w:p>
            <w:pPr>
              <w:spacing w:before="0" w:after="40"/>
              <w:jc w:val="center"/>
            </w:pPr>
            <w:r>
              <w:rPr>
                <w:rFonts w:ascii="Times New Roman" w:hAnsi="Times New Roman" w:eastAsia="Times New Roman" w:cs="Times New Roman"/>
                <w:b w:val="0"/>
                <w:i w:val="0"/>
                <w:caps w:val="0"/>
                <w:color w:val="000000"/>
                <w:sz w:val="24"/>
              </w:rPr>
              <w:t>30/06/2027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1.4.8</w:t>
            </w:r>
          </w:p>
        </w:tc>
        <w:tc>
          <w:tcPr>
            <w:tcW w:type="dxa" w:w="3400"/>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87,0%</w:t>
            </w:r>
          </w:p>
        </w:tc>
        <w:tc>
          <w:tcPr>
            <w:tcW w:type="dxa" w:w="19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200"/>
          </w:tcPr>
          <w:p>
            <w:pPr>
              <w:spacing w:before="0" w:after="40"/>
              <w:jc w:val="center"/>
            </w:pPr>
            <w:r>
              <w:rPr>
                <w:rFonts w:ascii="Times New Roman" w:hAnsi="Times New Roman" w:eastAsia="Times New Roman" w:cs="Times New Roman"/>
                <w:b w:val="0"/>
                <w:i w:val="0"/>
                <w:caps w:val="0"/>
                <w:color w:val="000000"/>
                <w:sz w:val="24"/>
              </w:rPr>
              <w:t>16/06/2027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1.4.9</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hiệu năng trên môi trường kiểm thử</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200"/>
          </w:tcPr>
          <w:p>
            <w:pPr>
              <w:spacing w:before="0" w:after="40"/>
              <w:jc w:val="center"/>
            </w:pPr>
            <w:r>
              <w:rPr>
                <w:rFonts w:ascii="Times New Roman" w:hAnsi="Times New Roman" w:eastAsia="Times New Roman" w:cs="Times New Roman"/>
                <w:b w:val="0"/>
                <w:i w:val="0"/>
                <w:caps w:val="0"/>
                <w:color w:val="000000"/>
                <w:sz w:val="24"/>
              </w:rPr>
              <w:t>21/06/2027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2.4.9</w:t>
            </w:r>
          </w:p>
        </w:tc>
        <w:tc>
          <w:tcPr>
            <w:tcW w:type="dxa" w:w="3400"/>
          </w:tcPr>
          <w:p>
            <w:pPr>
              <w:spacing w:before="0" w:after="40"/>
              <w:jc w:val="left"/>
            </w:pPr>
            <w:r>
              <w:rPr>
                <w:rFonts w:ascii="Times New Roman" w:hAnsi="Times New Roman" w:eastAsia="Times New Roman" w:cs="Times New Roman"/>
                <w:b w:val="0"/>
                <w:i w:val="0"/>
                <w:caps w:val="0"/>
                <w:color w:val="000000"/>
                <w:sz w:val="24"/>
              </w:rPr>
              <w:t>Đánh giá khả năng sử dụng của giao diện (Easy Operation)</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50,0%</w:t>
            </w:r>
          </w:p>
        </w:tc>
        <w:tc>
          <w:tcPr>
            <w:tcW w:type="dxa" w:w="19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3.5.3</w:t>
            </w:r>
          </w:p>
        </w:tc>
        <w:tc>
          <w:tcPr>
            <w:tcW w:type="dxa" w:w="3400"/>
          </w:tcPr>
          <w:p>
            <w:pPr>
              <w:spacing w:before="0" w:after="40"/>
              <w:jc w:val="left"/>
            </w:pPr>
            <w:r>
              <w:rPr>
                <w:rFonts w:ascii="Times New Roman" w:hAnsi="Times New Roman" w:eastAsia="Times New Roman" w:cs="Times New Roman"/>
                <w:b w:val="0"/>
                <w:i w:val="0"/>
                <w:caps w:val="0"/>
                <w:color w:val="000000"/>
                <w:sz w:val="24"/>
              </w:rPr>
              <w:t>Diễn tập triển khai phiên bản chính thức và chuyển đổi dữ liệu trên môi trường vận hành</w:t>
            </w:r>
          </w:p>
        </w:tc>
        <w:tc>
          <w:tcPr>
            <w:tcW w:type="dxa" w:w="1000"/>
          </w:tcPr>
          <w:p>
            <w:pPr>
              <w:spacing w:before="0" w:after="40"/>
              <w:jc w:val="right"/>
            </w:pPr>
            <w:r>
              <w:rPr>
                <w:rFonts w:ascii="Times New Roman" w:hAnsi="Times New Roman" w:eastAsia="Times New Roman" w:cs="Times New Roman"/>
                <w:b w:val="0"/>
                <w:i w:val="0"/>
                <w:caps w:val="0"/>
                <w:color w:val="000000"/>
                <w:sz w:val="24"/>
              </w:rPr>
              <w:t>66,7%</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200"/>
          </w:tcPr>
          <w:p>
            <w:pPr>
              <w:spacing w:before="0" w:after="40"/>
              <w:jc w:val="center"/>
            </w:pPr>
            <w:r>
              <w:rPr>
                <w:rFonts w:ascii="Times New Roman" w:hAnsi="Times New Roman" w:eastAsia="Times New Roman" w:cs="Times New Roman"/>
                <w:b w:val="0"/>
                <w:i w:val="0"/>
                <w:caps w:val="0"/>
                <w:color w:val="000000"/>
                <w:sz w:val="24"/>
              </w:rPr>
              <w:t>02/07/2027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4.5.3</w:t>
            </w:r>
          </w:p>
        </w:tc>
        <w:tc>
          <w:tcPr>
            <w:tcW w:type="dxa" w:w="3400"/>
          </w:tcPr>
          <w:p>
            <w:pPr>
              <w:spacing w:before="0" w:after="40"/>
              <w:jc w:val="left"/>
            </w:pPr>
            <w:r>
              <w:rPr>
                <w:rFonts w:ascii="Times New Roman" w:hAnsi="Times New Roman" w:eastAsia="Times New Roman" w:cs="Times New Roman"/>
                <w:b w:val="0"/>
                <w:i w:val="0"/>
                <w:caps w:val="0"/>
                <w:color w:val="000000"/>
                <w:sz w:val="24"/>
              </w:rPr>
              <w:t>Chuyển đổi thử dữ liệu sản phẩm, tồn kho do Chủ đầu tư cung cấp</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75,0%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16/06/2027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5.4.3</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hệ thống luồng bán hàng trên sàn gồm đồng bộ, nhận đơn, trạng thái và đối soát</w:t>
            </w:r>
          </w:p>
        </w:tc>
        <w:tc>
          <w:tcPr>
            <w:tcW w:type="dxa" w:w="1000"/>
          </w:tcPr>
          <w:p>
            <w:pPr>
              <w:spacing w:before="0" w:after="40"/>
              <w:jc w:val="right"/>
            </w:pPr>
            <w:r>
              <w:rPr>
                <w:rFonts w:ascii="Times New Roman" w:hAnsi="Times New Roman" w:eastAsia="Times New Roman" w:cs="Times New Roman"/>
                <w:b w:val="0"/>
                <w:i w:val="0"/>
                <w:caps w:val="0"/>
                <w:color w:val="000000"/>
                <w:sz w:val="24"/>
              </w:rPr>
              <w:t>50,0%</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200"/>
          </w:tcPr>
          <w:p>
            <w:pPr>
              <w:spacing w:before="0" w:after="40"/>
              <w:jc w:val="center"/>
            </w:pPr>
            <w:r>
              <w:rPr>
                <w:rFonts w:ascii="Times New Roman" w:hAnsi="Times New Roman" w:eastAsia="Times New Roman" w:cs="Times New Roman"/>
                <w:b w:val="0"/>
                <w:i w:val="0"/>
                <w:caps w:val="0"/>
                <w:color w:val="000000"/>
                <w:sz w:val="24"/>
              </w:rPr>
              <w:t>02/07/2027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Trong kỳ hoàn thành gói găng kiểm thử chức năng đầu cuối 3.4.12, sửa lỗi đăng ký, đăng nhập 2.4.4 và theo dõi đơn hàng 3.4.8, kịch bản kiểm thử chấp nhận 3.4.11, kế hoạch cut over 3.5.2, diễn tập chuyển đổi dự phòng 4.4.8, nạp nội dung sản phẩm 4.5.4. Phần bán hàng trên sàn hoàn thành đồng bộ sản phẩm và giá 5.3.2, cập nhật trạng thái 5.3.5, đối soát 5.3.6, giao diện quản trị kênh sàn 5.3.7, kiểm thử tích hợp với môi trường thử của sàn 5.4.2 và tài liệu, buổi hướng dẫn sử dụng bán hàng trên sàn 5.5.2.</w:t>
      </w:r>
    </w:p>
    <w:p>
      <w:pPr>
        <w:spacing w:before="0" w:after="100" w:line="300" w:lineRule="auto"/>
        <w:jc w:val="both"/>
      </w:pPr>
      <w:r>
        <w:rPr>
          <w:rFonts w:ascii="Times New Roman" w:hAnsi="Times New Roman" w:eastAsia="Times New Roman" w:cs="Times New Roman"/>
          <w:b w:val="0"/>
          <w:i w:val="0"/>
          <w:caps w:val="0"/>
          <w:color w:val="000000"/>
          <w:sz w:val="26"/>
        </w:rPr>
        <w:t>Bản phát hành R7 cuối sprint trình diễn luồng bán hàng trên sàn đầy đủ trên môi trường thử và kết quả kiểm thử chức năng đầu cuối. Kiểm thử hiệu năng 1.4.9 đạt 0,0% do chờ tối ưu, kiểm thử hệ thống luồng bán hàng trên sàn 5.4.3 chuyển sang đầu kỳ tới. Trong kỳ không có mốc đến hạn.</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53,28</w:t>
            </w:r>
          </w:p>
        </w:tc>
        <w:tc>
          <w:tcPr>
            <w:tcW w:type="dxa" w:w="1300"/>
          </w:tcPr>
          <w:p>
            <w:pPr>
              <w:spacing w:before="0" w:after="40"/>
              <w:jc w:val="right"/>
            </w:pPr>
            <w:r>
              <w:rPr>
                <w:rFonts w:ascii="Times New Roman" w:hAnsi="Times New Roman" w:eastAsia="Times New Roman" w:cs="Times New Roman"/>
                <w:b w:val="0"/>
                <w:i w:val="0"/>
                <w:caps w:val="0"/>
                <w:color w:val="000000"/>
                <w:sz w:val="24"/>
              </w:rPr>
              <w:t>55,50</w:t>
            </w:r>
          </w:p>
        </w:tc>
        <w:tc>
          <w:tcPr>
            <w:tcW w:type="dxa" w:w="1300"/>
          </w:tcPr>
          <w:p>
            <w:pPr>
              <w:spacing w:before="0" w:after="40"/>
              <w:jc w:val="right"/>
            </w:pPr>
            <w:r>
              <w:rPr>
                <w:rFonts w:ascii="Times New Roman" w:hAnsi="Times New Roman" w:eastAsia="Times New Roman" w:cs="Times New Roman"/>
                <w:b w:val="0"/>
                <w:i w:val="0"/>
                <w:caps w:val="0"/>
                <w:color w:val="000000"/>
                <w:sz w:val="24"/>
              </w:rPr>
              <w:t>2,22</w:t>
            </w:r>
          </w:p>
        </w:tc>
        <w:tc>
          <w:tcPr>
            <w:tcW w:type="dxa" w:w="1400"/>
          </w:tcPr>
          <w:p>
            <w:pPr>
              <w:spacing w:before="0" w:after="40"/>
              <w:jc w:val="right"/>
            </w:pPr>
            <w:r>
              <w:rPr>
                <w:rFonts w:ascii="Times New Roman" w:hAnsi="Times New Roman" w:eastAsia="Times New Roman" w:cs="Times New Roman"/>
                <w:b w:val="0"/>
                <w:i w:val="0"/>
                <w:caps w:val="0"/>
                <w:color w:val="000000"/>
                <w:sz w:val="24"/>
              </w:rPr>
              <w:t>70,00</w:t>
            </w:r>
          </w:p>
        </w:tc>
        <w:tc>
          <w:tcPr>
            <w:tcW w:type="dxa" w:w="1500"/>
          </w:tcPr>
          <w:p>
            <w:pPr>
              <w:spacing w:before="0" w:after="40"/>
              <w:jc w:val="right"/>
            </w:pPr>
            <w:r>
              <w:rPr>
                <w:rFonts w:ascii="Times New Roman" w:hAnsi="Times New Roman" w:eastAsia="Times New Roman" w:cs="Times New Roman"/>
                <w:b w:val="0"/>
                <w:i w:val="0"/>
                <w:caps w:val="0"/>
                <w:color w:val="000000"/>
                <w:sz w:val="24"/>
              </w:rPr>
              <w:t>14,50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45,00</w:t>
            </w:r>
          </w:p>
        </w:tc>
        <w:tc>
          <w:tcPr>
            <w:tcW w:type="dxa" w:w="1300"/>
          </w:tcPr>
          <w:p>
            <w:pPr>
              <w:spacing w:before="0" w:after="40"/>
              <w:jc w:val="right"/>
            </w:pPr>
            <w:r>
              <w:rPr>
                <w:rFonts w:ascii="Times New Roman" w:hAnsi="Times New Roman" w:eastAsia="Times New Roman" w:cs="Times New Roman"/>
                <w:b w:val="0"/>
                <w:i w:val="0"/>
                <w:caps w:val="0"/>
                <w:color w:val="000000"/>
                <w:sz w:val="24"/>
              </w:rPr>
              <w:t>44,25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18,75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52,00</w:t>
            </w:r>
          </w:p>
        </w:tc>
        <w:tc>
          <w:tcPr>
            <w:tcW w:type="dxa" w:w="1300"/>
          </w:tcPr>
          <w:p>
            <w:pPr>
              <w:spacing w:before="0" w:after="40"/>
              <w:jc w:val="right"/>
            </w:pPr>
            <w:r>
              <w:rPr>
                <w:rFonts w:ascii="Times New Roman" w:hAnsi="Times New Roman" w:eastAsia="Times New Roman" w:cs="Times New Roman"/>
                <w:b w:val="0"/>
                <w:i w:val="0"/>
                <w:caps w:val="0"/>
                <w:color w:val="000000"/>
                <w:sz w:val="24"/>
              </w:rPr>
              <w:t>50,25</w:t>
            </w:r>
          </w:p>
        </w:tc>
        <w:tc>
          <w:tcPr>
            <w:tcW w:type="dxa" w:w="1300"/>
          </w:tcPr>
          <w:p>
            <w:pPr>
              <w:spacing w:before="0" w:after="40"/>
              <w:jc w:val="right"/>
            </w:pPr>
            <w:r>
              <w:rPr>
                <w:rFonts w:ascii="Times New Roman" w:hAnsi="Times New Roman" w:eastAsia="Times New Roman" w:cs="Times New Roman"/>
                <w:b w:val="0"/>
                <w:i w:val="0"/>
                <w:caps w:val="0"/>
                <w:color w:val="000000"/>
                <w:sz w:val="24"/>
              </w:rPr>
              <w:t>-1,75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12,75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57,50</w:t>
            </w:r>
          </w:p>
        </w:tc>
        <w:tc>
          <w:tcPr>
            <w:tcW w:type="dxa" w:w="1300"/>
          </w:tcPr>
          <w:p>
            <w:pPr>
              <w:spacing w:before="0" w:after="40"/>
              <w:jc w:val="right"/>
            </w:pPr>
            <w:r>
              <w:rPr>
                <w:rFonts w:ascii="Times New Roman" w:hAnsi="Times New Roman" w:eastAsia="Times New Roman" w:cs="Times New Roman"/>
                <w:b w:val="0"/>
                <w:i w:val="0"/>
                <w:caps w:val="0"/>
                <w:color w:val="000000"/>
                <w:sz w:val="24"/>
              </w:rPr>
              <w:t>58,50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66,00</w:t>
            </w:r>
          </w:p>
        </w:tc>
        <w:tc>
          <w:tcPr>
            <w:tcW w:type="dxa" w:w="1500"/>
          </w:tcPr>
          <w:p>
            <w:pPr>
              <w:spacing w:before="0" w:after="40"/>
              <w:jc w:val="right"/>
            </w:pPr>
            <w:r>
              <w:rPr>
                <w:rFonts w:ascii="Times New Roman" w:hAnsi="Times New Roman" w:eastAsia="Times New Roman" w:cs="Times New Roman"/>
                <w:b w:val="0"/>
                <w:i w:val="0"/>
                <w:caps w:val="0"/>
                <w:color w:val="000000"/>
                <w:sz w:val="24"/>
              </w:rPr>
              <w:t>7,50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63,50</w:t>
            </w:r>
          </w:p>
        </w:tc>
        <w:tc>
          <w:tcPr>
            <w:tcW w:type="dxa" w:w="1300"/>
          </w:tcPr>
          <w:p>
            <w:pPr>
              <w:spacing w:before="0" w:after="40"/>
              <w:jc w:val="right"/>
            </w:pPr>
            <w:r>
              <w:rPr>
                <w:rFonts w:ascii="Times New Roman" w:hAnsi="Times New Roman" w:eastAsia="Times New Roman" w:cs="Times New Roman"/>
                <w:b w:val="0"/>
                <w:i w:val="0"/>
                <w:caps w:val="0"/>
                <w:color w:val="000000"/>
                <w:sz w:val="24"/>
              </w:rPr>
              <w:t>63,75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71,00</w:t>
            </w:r>
          </w:p>
        </w:tc>
        <w:tc>
          <w:tcPr>
            <w:tcW w:type="dxa" w:w="1500"/>
          </w:tcPr>
          <w:p>
            <w:pPr>
              <w:spacing w:before="0" w:after="40"/>
              <w:jc w:val="right"/>
            </w:pPr>
            <w:r>
              <w:rPr>
                <w:rFonts w:ascii="Times New Roman" w:hAnsi="Times New Roman" w:eastAsia="Times New Roman" w:cs="Times New Roman"/>
                <w:b w:val="0"/>
                <w:i w:val="0"/>
                <w:caps w:val="0"/>
                <w:color w:val="000000"/>
                <w:sz w:val="24"/>
              </w:rPr>
              <w:t>7,25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56,67</w:t>
            </w:r>
          </w:p>
        </w:tc>
        <w:tc>
          <w:tcPr>
            <w:tcW w:type="dxa" w:w="1300"/>
          </w:tcPr>
          <w:p>
            <w:pPr>
              <w:spacing w:before="0" w:after="40"/>
              <w:jc w:val="right"/>
            </w:pPr>
            <w:r>
              <w:rPr>
                <w:rFonts w:ascii="Times New Roman" w:hAnsi="Times New Roman" w:eastAsia="Times New Roman" w:cs="Times New Roman"/>
                <w:b w:val="0"/>
                <w:i w:val="0"/>
                <w:caps w:val="0"/>
                <w:color w:val="000000"/>
                <w:sz w:val="24"/>
              </w:rPr>
              <w:t>57,75</w:t>
            </w:r>
          </w:p>
        </w:tc>
        <w:tc>
          <w:tcPr>
            <w:tcW w:type="dxa" w:w="1300"/>
          </w:tcPr>
          <w:p>
            <w:pPr>
              <w:spacing w:before="0" w:after="40"/>
              <w:jc w:val="right"/>
            </w:pPr>
            <w:r>
              <w:rPr>
                <w:rFonts w:ascii="Times New Roman" w:hAnsi="Times New Roman" w:eastAsia="Times New Roman" w:cs="Times New Roman"/>
                <w:b w:val="0"/>
                <w:i w:val="0"/>
                <w:caps w:val="0"/>
                <w:color w:val="000000"/>
                <w:sz w:val="24"/>
              </w:rPr>
              <w:t>1,08</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5,25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57,50</w:t>
            </w:r>
          </w:p>
        </w:tc>
        <w:tc>
          <w:tcPr>
            <w:tcW w:type="dxa" w:w="1300"/>
          </w:tcPr>
          <w:p>
            <w:pPr>
              <w:spacing w:before="0" w:after="40"/>
              <w:jc w:val="right"/>
            </w:pPr>
            <w:r>
              <w:rPr>
                <w:rFonts w:ascii="Times New Roman" w:hAnsi="Times New Roman" w:eastAsia="Times New Roman" w:cs="Times New Roman"/>
                <w:b w:val="0"/>
                <w:i w:val="0"/>
                <w:caps w:val="0"/>
                <w:color w:val="000000"/>
                <w:sz w:val="24"/>
              </w:rPr>
              <w:t>57,00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73,00</w:t>
            </w:r>
          </w:p>
        </w:tc>
        <w:tc>
          <w:tcPr>
            <w:tcW w:type="dxa" w:w="1500"/>
          </w:tcPr>
          <w:p>
            <w:pPr>
              <w:spacing w:before="0" w:after="40"/>
              <w:jc w:val="right"/>
            </w:pPr>
            <w:r>
              <w:rPr>
                <w:rFonts w:ascii="Times New Roman" w:hAnsi="Times New Roman" w:eastAsia="Times New Roman" w:cs="Times New Roman"/>
                <w:b w:val="0"/>
                <w:i w:val="0"/>
                <w:caps w:val="0"/>
                <w:color w:val="000000"/>
                <w:sz w:val="24"/>
              </w:rPr>
              <w:t>16,00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51,00</w:t>
            </w:r>
          </w:p>
        </w:tc>
        <w:tc>
          <w:tcPr>
            <w:tcW w:type="dxa" w:w="1300"/>
          </w:tcPr>
          <w:p>
            <w:pPr>
              <w:spacing w:before="0" w:after="40"/>
              <w:jc w:val="right"/>
            </w:pPr>
            <w:r>
              <w:rPr>
                <w:rFonts w:ascii="Times New Roman" w:hAnsi="Times New Roman" w:eastAsia="Times New Roman" w:cs="Times New Roman"/>
                <w:b w:val="0"/>
                <w:i w:val="0"/>
                <w:caps w:val="0"/>
                <w:color w:val="000000"/>
                <w:sz w:val="24"/>
              </w:rPr>
              <w:t>50,25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12,75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49,50</w:t>
            </w:r>
          </w:p>
        </w:tc>
        <w:tc>
          <w:tcPr>
            <w:tcW w:type="dxa" w:w="1300"/>
          </w:tcPr>
          <w:p>
            <w:pPr>
              <w:spacing w:before="0" w:after="40"/>
              <w:jc w:val="right"/>
            </w:pPr>
            <w:r>
              <w:rPr>
                <w:rFonts w:ascii="Times New Roman" w:hAnsi="Times New Roman" w:eastAsia="Times New Roman" w:cs="Times New Roman"/>
                <w:b w:val="0"/>
                <w:i w:val="0"/>
                <w:caps w:val="0"/>
                <w:color w:val="000000"/>
                <w:sz w:val="24"/>
              </w:rPr>
              <w:t>48,25</w:t>
            </w:r>
          </w:p>
        </w:tc>
        <w:tc>
          <w:tcPr>
            <w:tcW w:type="dxa" w:w="1300"/>
          </w:tcPr>
          <w:p>
            <w:pPr>
              <w:spacing w:before="0" w:after="40"/>
              <w:jc w:val="right"/>
            </w:pPr>
            <w:r>
              <w:rPr>
                <w:rFonts w:ascii="Times New Roman" w:hAnsi="Times New Roman" w:eastAsia="Times New Roman" w:cs="Times New Roman"/>
                <w:b w:val="0"/>
                <w:i w:val="0"/>
                <w:caps w:val="0"/>
                <w:color w:val="000000"/>
                <w:sz w:val="24"/>
              </w:rPr>
              <w:t>-1,25</w:t>
            </w:r>
          </w:p>
        </w:tc>
        <w:tc>
          <w:tcPr>
            <w:tcW w:type="dxa" w:w="1400"/>
          </w:tcPr>
          <w:p>
            <w:pPr>
              <w:spacing w:before="0" w:after="40"/>
              <w:jc w:val="right"/>
            </w:pPr>
            <w:r>
              <w:rPr>
                <w:rFonts w:ascii="Times New Roman" w:hAnsi="Times New Roman" w:eastAsia="Times New Roman" w:cs="Times New Roman"/>
                <w:b w:val="0"/>
                <w:i w:val="0"/>
                <w:caps w:val="0"/>
                <w:color w:val="000000"/>
                <w:sz w:val="24"/>
              </w:rPr>
              <w:t>73,00</w:t>
            </w:r>
          </w:p>
        </w:tc>
        <w:tc>
          <w:tcPr>
            <w:tcW w:type="dxa" w:w="1500"/>
          </w:tcPr>
          <w:p>
            <w:pPr>
              <w:spacing w:before="0" w:after="40"/>
              <w:jc w:val="right"/>
            </w:pPr>
            <w:r>
              <w:rPr>
                <w:rFonts w:ascii="Times New Roman" w:hAnsi="Times New Roman" w:eastAsia="Times New Roman" w:cs="Times New Roman"/>
                <w:b w:val="0"/>
                <w:i w:val="0"/>
                <w:caps w:val="0"/>
                <w:color w:val="000000"/>
                <w:sz w:val="24"/>
              </w:rPr>
              <w:t>24,75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43,00</w:t>
            </w:r>
          </w:p>
        </w:tc>
        <w:tc>
          <w:tcPr>
            <w:tcW w:type="dxa" w:w="1300"/>
          </w:tcPr>
          <w:p>
            <w:pPr>
              <w:spacing w:before="0" w:after="40"/>
              <w:jc w:val="right"/>
            </w:pPr>
            <w:r>
              <w:rPr>
                <w:rFonts w:ascii="Times New Roman" w:hAnsi="Times New Roman" w:eastAsia="Times New Roman" w:cs="Times New Roman"/>
                <w:b w:val="0"/>
                <w:i w:val="0"/>
                <w:caps w:val="0"/>
                <w:color w:val="000000"/>
                <w:sz w:val="24"/>
              </w:rPr>
              <w:t>42,25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61,00</w:t>
            </w:r>
          </w:p>
        </w:tc>
        <w:tc>
          <w:tcPr>
            <w:tcW w:type="dxa" w:w="1500"/>
          </w:tcPr>
          <w:p>
            <w:pPr>
              <w:spacing w:before="0" w:after="40"/>
              <w:jc w:val="right"/>
            </w:pPr>
            <w:r>
              <w:rPr>
                <w:rFonts w:ascii="Times New Roman" w:hAnsi="Times New Roman" w:eastAsia="Times New Roman" w:cs="Times New Roman"/>
                <w:b w:val="0"/>
                <w:i w:val="0"/>
                <w:caps w:val="0"/>
                <w:color w:val="000000"/>
                <w:sz w:val="24"/>
              </w:rPr>
              <w:t>18,75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right"/>
            </w:pPr>
            <w:r>
              <w:rPr>
                <w:rFonts w:ascii="Times New Roman" w:hAnsi="Times New Roman" w:eastAsia="Times New Roman" w:cs="Times New Roman"/>
                <w:b w:val="0"/>
                <w:i w:val="0"/>
                <w:caps w:val="0"/>
                <w:color w:val="000000"/>
                <w:sz w:val="24"/>
              </w:rPr>
              <w:t>41,00</w:t>
            </w:r>
          </w:p>
        </w:tc>
        <w:tc>
          <w:tcPr>
            <w:tcW w:type="dxa" w:w="1300"/>
          </w:tcPr>
          <w:p>
            <w:pPr>
              <w:spacing w:before="0" w:after="40"/>
              <w:jc w:val="right"/>
            </w:pPr>
            <w:r>
              <w:rPr>
                <w:rFonts w:ascii="Times New Roman" w:hAnsi="Times New Roman" w:eastAsia="Times New Roman" w:cs="Times New Roman"/>
                <w:b w:val="0"/>
                <w:i w:val="0"/>
                <w:caps w:val="0"/>
                <w:color w:val="000000"/>
                <w:sz w:val="24"/>
              </w:rPr>
              <w:t>36,50</w:t>
            </w:r>
          </w:p>
        </w:tc>
        <w:tc>
          <w:tcPr>
            <w:tcW w:type="dxa" w:w="1300"/>
          </w:tcPr>
          <w:p>
            <w:pPr>
              <w:spacing w:before="0" w:after="40"/>
              <w:jc w:val="right"/>
            </w:pPr>
            <w:r>
              <w:rPr>
                <w:rFonts w:ascii="Times New Roman" w:hAnsi="Times New Roman" w:eastAsia="Times New Roman" w:cs="Times New Roman"/>
                <w:b w:val="0"/>
                <w:i w:val="0"/>
                <w:caps w:val="0"/>
                <w:color w:val="000000"/>
                <w:sz w:val="24"/>
              </w:rPr>
              <w:t>-4,50</w:t>
            </w:r>
          </w:p>
        </w:tc>
        <w:tc>
          <w:tcPr>
            <w:tcW w:type="dxa" w:w="1400"/>
          </w:tcPr>
          <w:p>
            <w:pPr>
              <w:spacing w:before="0" w:after="40"/>
              <w:jc w:val="right"/>
            </w:pPr>
            <w:r>
              <w:rPr>
                <w:rFonts w:ascii="Times New Roman" w:hAnsi="Times New Roman" w:eastAsia="Times New Roman" w:cs="Times New Roman"/>
                <w:b w:val="0"/>
                <w:i w:val="0"/>
                <w:caps w:val="0"/>
                <w:color w:val="000000"/>
                <w:sz w:val="24"/>
              </w:rPr>
              <w:t>52,00</w:t>
            </w:r>
          </w:p>
        </w:tc>
        <w:tc>
          <w:tcPr>
            <w:tcW w:type="dxa" w:w="1500"/>
          </w:tcPr>
          <w:p>
            <w:pPr>
              <w:spacing w:before="0" w:after="40"/>
              <w:jc w:val="right"/>
            </w:pPr>
            <w:r>
              <w:rPr>
                <w:rFonts w:ascii="Times New Roman" w:hAnsi="Times New Roman" w:eastAsia="Times New Roman" w:cs="Times New Roman"/>
                <w:b w:val="0"/>
                <w:i w:val="0"/>
                <w:caps w:val="0"/>
                <w:color w:val="000000"/>
                <w:sz w:val="24"/>
              </w:rPr>
              <w:t>15,50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right"/>
            </w:pPr>
            <w:r>
              <w:rPr>
                <w:rFonts w:ascii="Times New Roman" w:hAnsi="Times New Roman" w:eastAsia="Times New Roman" w:cs="Times New Roman"/>
                <w:b w:val="0"/>
                <w:i w:val="0"/>
                <w:caps w:val="0"/>
                <w:color w:val="000000"/>
                <w:sz w:val="24"/>
              </w:rPr>
              <w:t>46,00</w:t>
            </w:r>
          </w:p>
        </w:tc>
        <w:tc>
          <w:tcPr>
            <w:tcW w:type="dxa" w:w="1300"/>
          </w:tcPr>
          <w:p>
            <w:pPr>
              <w:spacing w:before="0" w:after="40"/>
              <w:jc w:val="right"/>
            </w:pPr>
            <w:r>
              <w:rPr>
                <w:rFonts w:ascii="Times New Roman" w:hAnsi="Times New Roman" w:eastAsia="Times New Roman" w:cs="Times New Roman"/>
                <w:b w:val="0"/>
                <w:i w:val="0"/>
                <w:caps w:val="0"/>
                <w:color w:val="000000"/>
                <w:sz w:val="24"/>
              </w:rPr>
              <w:t>46,25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47,00</w:t>
            </w:r>
          </w:p>
        </w:tc>
        <w:tc>
          <w:tcPr>
            <w:tcW w:type="dxa" w:w="1500"/>
          </w:tcPr>
          <w:p>
            <w:pPr>
              <w:spacing w:before="0" w:after="40"/>
              <w:jc w:val="right"/>
            </w:pPr>
            <w:r>
              <w:rPr>
                <w:rFonts w:ascii="Times New Roman" w:hAnsi="Times New Roman" w:eastAsia="Times New Roman" w:cs="Times New Roman"/>
                <w:b w:val="0"/>
                <w:i w:val="0"/>
                <w:caps w:val="0"/>
                <w:color w:val="000000"/>
                <w:sz w:val="24"/>
              </w:rPr>
              <w:t>0,75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615,95</w:t>
            </w:r>
          </w:p>
        </w:tc>
        <w:tc>
          <w:tcPr>
            <w:tcW w:type="dxa" w:w="1300"/>
          </w:tcPr>
          <w:p>
            <w:pPr>
              <w:spacing w:before="0" w:after="40"/>
              <w:jc w:val="right"/>
            </w:pPr>
            <w:r>
              <w:rPr>
                <w:rFonts w:ascii="Times New Roman" w:hAnsi="Times New Roman" w:eastAsia="Times New Roman" w:cs="Times New Roman"/>
                <w:b w:val="0"/>
                <w:i w:val="0"/>
                <w:caps w:val="0"/>
                <w:color w:val="000000"/>
                <w:sz w:val="24"/>
              </w:rPr>
              <w:t>610,50</w:t>
            </w:r>
          </w:p>
        </w:tc>
        <w:tc>
          <w:tcPr>
            <w:tcW w:type="dxa" w:w="1300"/>
          </w:tcPr>
          <w:p>
            <w:pPr>
              <w:spacing w:before="0" w:after="40"/>
              <w:jc w:val="right"/>
            </w:pPr>
            <w:r>
              <w:rPr>
                <w:rFonts w:ascii="Times New Roman" w:hAnsi="Times New Roman" w:eastAsia="Times New Roman" w:cs="Times New Roman"/>
                <w:b w:val="0"/>
                <w:i w:val="0"/>
                <w:caps w:val="0"/>
                <w:color w:val="000000"/>
                <w:sz w:val="24"/>
              </w:rPr>
              <w:t>-5,45</w:t>
            </w:r>
          </w:p>
        </w:tc>
        <w:tc>
          <w:tcPr>
            <w:tcW w:type="dxa" w:w="1400"/>
          </w:tcPr>
          <w:p>
            <w:pPr>
              <w:spacing w:before="0" w:after="40"/>
              <w:jc w:val="right"/>
            </w:pPr>
            <w:r>
              <w:rPr>
                <w:rFonts w:ascii="Times New Roman" w:hAnsi="Times New Roman" w:eastAsia="Times New Roman" w:cs="Times New Roman"/>
                <w:b w:val="0"/>
                <w:i w:val="0"/>
                <w:caps w:val="0"/>
                <w:color w:val="000000"/>
                <w:sz w:val="24"/>
              </w:rPr>
              <w:t>765,00</w:t>
            </w:r>
          </w:p>
        </w:tc>
        <w:tc>
          <w:tcPr>
            <w:tcW w:type="dxa" w:w="1500"/>
          </w:tcPr>
          <w:p>
            <w:pPr>
              <w:spacing w:before="0" w:after="40"/>
              <w:jc w:val="right"/>
            </w:pPr>
            <w:r>
              <w:rPr>
                <w:rFonts w:ascii="Times New Roman" w:hAnsi="Times New Roman" w:eastAsia="Times New Roman" w:cs="Times New Roman"/>
                <w:b w:val="0"/>
                <w:i w:val="0"/>
                <w:caps w:val="0"/>
                <w:color w:val="000000"/>
                <w:sz w:val="24"/>
              </w:rPr>
              <w:t>154,50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13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ưu tiên cao 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quá hạn 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900"/>
        <w:gridCol w:w="1000"/>
        <w:gridCol w:w="1500"/>
        <w:gridCol w:w="11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Vấn đề</w:t>
            </w:r>
          </w:p>
        </w:tc>
        <w:tc>
          <w:tcPr>
            <w:tcW w:type="dxa" w:w="900"/>
          </w:tcPr>
          <w:p>
            <w:pPr>
              <w:spacing w:before="0" w:after="40"/>
              <w:jc w:val="center"/>
            </w:pPr>
            <w:r>
              <w:rPr>
                <w:rFonts w:ascii="Times New Roman" w:hAnsi="Times New Roman" w:eastAsia="Times New Roman" w:cs="Times New Roman"/>
                <w:b w:val="0"/>
                <w:i w:val="0"/>
                <w:caps w:val="0"/>
                <w:color w:val="000000"/>
                <w:sz w:val="24"/>
              </w:rPr>
              <w:t>Ưu tiên</w:t>
            </w:r>
          </w:p>
        </w:tc>
        <w:tc>
          <w:tcPr>
            <w:tcW w:type="dxa" w:w="1000"/>
          </w:tcPr>
          <w:p>
            <w:pPr>
              <w:spacing w:before="0" w:after="40"/>
              <w:jc w:val="center"/>
            </w:pPr>
            <w:r>
              <w:rPr>
                <w:rFonts w:ascii="Times New Roman" w:hAnsi="Times New Roman" w:eastAsia="Times New Roman" w:cs="Times New Roman"/>
                <w:b w:val="0"/>
                <w:i w:val="0"/>
                <w:caps w:val="0"/>
                <w:color w:val="000000"/>
                <w:sz w:val="24"/>
              </w:rPr>
              <w:t>Liên kết</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100"/>
          </w:tcPr>
          <w:p>
            <w:pPr>
              <w:spacing w:before="0" w:after="40"/>
              <w:jc w:val="center"/>
            </w:pPr>
            <w:r>
              <w:rPr>
                <w:rFonts w:ascii="Times New Roman" w:hAnsi="Times New Roman" w:eastAsia="Times New Roman" w:cs="Times New Roman"/>
                <w:b w:val="0"/>
                <w:i w:val="0"/>
                <w:caps w:val="0"/>
                <w:color w:val="000000"/>
                <w:sz w:val="24"/>
              </w:rPr>
              <w:t>Hạn</w:t>
            </w:r>
          </w:p>
        </w:tc>
        <w:tc>
          <w:tcPr>
            <w:tcW w:type="dxa" w:w="1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VD11</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1.4.8, 1.4.9, 2.4.9, 4.5.3, 4.5.4, gói găng 3.4.12 kiểm thử chức năng đầu cuối và các gói bán hàng trên sàn 5.2.4, 5.3.2, 5.3.3, 5.3.5, 5.3.7 chậm cuối S6 do sửa lỗi tích hợp với Main System và thiết kế tích hợp với sàn 5.2.3 vượt công</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25/06/2027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VD12</w:t>
            </w:r>
          </w:p>
        </w:tc>
        <w:tc>
          <w:tcPr>
            <w:tcW w:type="dxa" w:w="3100"/>
          </w:tcPr>
          <w:p>
            <w:pPr>
              <w:spacing w:before="0" w:after="40"/>
              <w:jc w:val="left"/>
            </w:pPr>
            <w:r>
              <w:rPr>
                <w:rFonts w:ascii="Times New Roman" w:hAnsi="Times New Roman" w:eastAsia="Times New Roman" w:cs="Times New Roman"/>
                <w:b w:val="0"/>
                <w:i w:val="0"/>
                <w:caps w:val="0"/>
                <w:color w:val="000000"/>
                <w:sz w:val="24"/>
              </w:rPr>
              <w:t>Kiểm thử hiệu năng 1.4.9 cho thời gian phản hồi trang danh mục vượt 2 giây ở mức tải 500 người dùng đồng thời, cần tối ưu trong gói sửa lỗi 1.4.6 trước kiểm thử hệ thống (M4)</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t>RR06</w:t>
            </w:r>
          </w:p>
        </w:tc>
        <w:tc>
          <w:tcPr>
            <w:tcW w:type="dxa" w:w="1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100"/>
          </w:tcPr>
          <w:p>
            <w:pPr>
              <w:spacing w:before="0" w:after="40"/>
              <w:jc w:val="center"/>
            </w:pPr>
            <w:r>
              <w:rPr>
                <w:rFonts w:ascii="Times New Roman" w:hAnsi="Times New Roman" w:eastAsia="Times New Roman" w:cs="Times New Roman"/>
                <w:b w:val="0"/>
                <w:i w:val="0"/>
                <w:caps w:val="0"/>
                <w:color w:val="000000"/>
                <w:sz w:val="24"/>
              </w:rPr>
              <w:t>30/06/2027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VD13</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1.4.6, 1.4.8, 1.4.9 chậm do tối ưu hiệu năng (RR06), gói 2.4.9 và 4.5.3 còn phần việc của Vũ Đức Minh, Phạm Tuấn Anh không huy động trong S7, kéo theo diễn tập triển khai 3.5.3 và kiểm thử hệ thống phần sàn 5.4.3 chậm cuối S7, có nguy cơ làm muộn khắc phục lỗi sau kiểm thử hệ thống 4.4.5 trên đường găng</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09/07/2027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00"/>
        <w:gridCol w:w="3500"/>
        <w:gridCol w:w="1700"/>
        <w:gridCol w:w="12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00"/>
          </w:tcPr>
          <w:p>
            <w:pPr>
              <w:spacing w:before="0" w:after="40"/>
              <w:jc w:val="center"/>
            </w:pPr>
            <w:r>
              <w:rPr>
                <w:rFonts w:ascii="Times New Roman" w:hAnsi="Times New Roman" w:eastAsia="Times New Roman" w:cs="Times New Roman"/>
                <w:b w:val="0"/>
                <w:i w:val="0"/>
                <w:caps w:val="0"/>
                <w:color w:val="000000"/>
                <w:sz w:val="24"/>
              </w:rPr>
              <w:t>Vấn đề</w:t>
            </w:r>
          </w:p>
        </w:tc>
        <w:tc>
          <w:tcPr>
            <w:tcW w:type="dxa" w:w="35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HD14</w:t>
            </w:r>
          </w:p>
        </w:tc>
        <w:tc>
          <w:tcPr>
            <w:tcW w:type="dxa" w:w="800"/>
          </w:tcPr>
          <w:p>
            <w:pPr>
              <w:spacing w:before="0" w:after="40"/>
              <w:jc w:val="center"/>
            </w:pPr>
            <w:r>
              <w:rPr>
                <w:rFonts w:ascii="Times New Roman" w:hAnsi="Times New Roman" w:eastAsia="Times New Roman" w:cs="Times New Roman"/>
                <w:b w:val="0"/>
                <w:i w:val="0"/>
                <w:caps w:val="0"/>
                <w:color w:val="000000"/>
                <w:sz w:val="24"/>
              </w:rPr>
              <w:t>VD11</w:t>
            </w:r>
          </w:p>
        </w:tc>
        <w:tc>
          <w:tcPr>
            <w:tcW w:type="dxa" w:w="3500"/>
          </w:tcPr>
          <w:p>
            <w:pPr>
              <w:spacing w:before="0" w:after="40"/>
              <w:jc w:val="left"/>
            </w:pPr>
            <w:r>
              <w:rPr>
                <w:rFonts w:ascii="Times New Roman" w:hAnsi="Times New Roman" w:eastAsia="Times New Roman" w:cs="Times New Roman"/>
                <w:b w:val="0"/>
                <w:i w:val="0"/>
                <w:caps w:val="0"/>
                <w:color w:val="000000"/>
                <w:sz w:val="24"/>
              </w:rPr>
              <w:t>Ưu tiên đầu S7 cho gói găng 3.4.12 và chuỗi lập trình phần sàn, Lê Quang Huy và Đỗ Minh Quân dùng quỹ sẵn sàng làm bù 5.3.2, 5.3.7</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18/06/2027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HD15</w:t>
            </w:r>
          </w:p>
        </w:tc>
        <w:tc>
          <w:tcPr>
            <w:tcW w:type="dxa" w:w="800"/>
          </w:tcPr>
          <w:p>
            <w:pPr>
              <w:spacing w:before="0" w:after="40"/>
              <w:jc w:val="center"/>
            </w:pPr>
            <w:r>
              <w:rPr>
                <w:rFonts w:ascii="Times New Roman" w:hAnsi="Times New Roman" w:eastAsia="Times New Roman" w:cs="Times New Roman"/>
                <w:b w:val="0"/>
                <w:i w:val="0"/>
                <w:caps w:val="0"/>
                <w:color w:val="000000"/>
                <w:sz w:val="24"/>
              </w:rPr>
              <w:t>VD12</w:t>
            </w:r>
          </w:p>
        </w:tc>
        <w:tc>
          <w:tcPr>
            <w:tcW w:type="dxa" w:w="3500"/>
          </w:tcPr>
          <w:p>
            <w:pPr>
              <w:spacing w:before="0" w:after="40"/>
              <w:jc w:val="left"/>
            </w:pPr>
            <w:r>
              <w:rPr>
                <w:rFonts w:ascii="Times New Roman" w:hAnsi="Times New Roman" w:eastAsia="Times New Roman" w:cs="Times New Roman"/>
                <w:b w:val="0"/>
                <w:i w:val="0"/>
                <w:caps w:val="0"/>
                <w:color w:val="000000"/>
                <w:sz w:val="24"/>
              </w:rPr>
              <w:t>Tối ưu truy vấn danh mục, bổ sung chỉ mục và bộ nhớ đệm kết quả lọc</w:t>
            </w:r>
          </w:p>
        </w:tc>
        <w:tc>
          <w:tcPr>
            <w:tcW w:type="dxa" w:w="17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2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HD16</w:t>
            </w:r>
          </w:p>
        </w:tc>
        <w:tc>
          <w:tcPr>
            <w:tcW w:type="dxa" w:w="800"/>
          </w:tcPr>
          <w:p>
            <w:pPr>
              <w:spacing w:before="0" w:after="40"/>
              <w:jc w:val="center"/>
            </w:pPr>
            <w:r>
              <w:rPr>
                <w:rFonts w:ascii="Times New Roman" w:hAnsi="Times New Roman" w:eastAsia="Times New Roman" w:cs="Times New Roman"/>
                <w:b w:val="0"/>
                <w:i w:val="0"/>
                <w:caps w:val="0"/>
                <w:color w:val="000000"/>
                <w:sz w:val="24"/>
              </w:rPr>
              <w:t>VD13</w:t>
            </w:r>
          </w:p>
        </w:tc>
        <w:tc>
          <w:tcPr>
            <w:tcW w:type="dxa" w:w="3500"/>
          </w:tcPr>
          <w:p>
            <w:pPr>
              <w:spacing w:before="0" w:after="40"/>
              <w:jc w:val="left"/>
            </w:pPr>
            <w:r>
              <w:rPr>
                <w:rFonts w:ascii="Times New Roman" w:hAnsi="Times New Roman" w:eastAsia="Times New Roman" w:cs="Times New Roman"/>
                <w:b w:val="0"/>
                <w:i w:val="0"/>
                <w:caps w:val="0"/>
                <w:color w:val="000000"/>
                <w:sz w:val="24"/>
              </w:rPr>
              <w:t>Huy động bổ sung theo nhu cầu trong S8 cho kiểm thử viên và kỹ sư phát triển còn việc chậm, ưu tiên các gói trước khắc phục lỗi sau kiểm thử hệ thống 4.4.5</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02/07/2027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5600"/>
        <w:gridCol w:w="1900"/>
      </w:tblGrid>
      <w:tr>
        <w:trPr>
          <w:tblHeader w:val="true"/>
        </w:trPr>
        <w:tc>
          <w:tcPr>
            <w:tcW w:type="dxa" w:w="1800"/>
          </w:tcPr>
          <w:p>
            <w:pPr>
              <w:spacing w:before="0" w:after="40"/>
              <w:jc w:val="left"/>
            </w:pPr>
            <w:r>
              <w:rPr>
                <w:rFonts w:ascii="Times New Roman" w:hAnsi="Times New Roman" w:eastAsia="Times New Roman" w:cs="Times New Roman"/>
                <w:b w:val="0"/>
                <w:i w:val="0"/>
                <w:caps w:val="0"/>
                <w:color w:val="000000"/>
                <w:sz w:val="24"/>
              </w:rPr>
              <w:t>Nguồn</w:t>
            </w:r>
          </w:p>
        </w:tc>
        <w:tc>
          <w:tcPr>
            <w:tcW w:type="dxa" w:w="5600"/>
          </w:tcPr>
          <w:p>
            <w:pPr>
              <w:spacing w:before="0" w:after="40"/>
              <w:jc w:val="left"/>
            </w:pPr>
            <w:r>
              <w:rPr>
                <w:rFonts w:ascii="Times New Roman" w:hAnsi="Times New Roman" w:eastAsia="Times New Roman" w:cs="Times New Roman"/>
                <w:b w:val="0"/>
                <w:i w:val="0"/>
                <w:caps w:val="0"/>
                <w:color w:val="000000"/>
                <w:sz w:val="24"/>
              </w:rPr>
              <w:t>Tín hiệu do script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trong sổ</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1.4.6 Sửa lỗi và kiểm thử lại trang chủ, danh mục và chi tiết sản phẩm: hoàn thành 75%,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VD12, VD13</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1.4.8 Kịch bản và công cụ kiểm thử hiệu năng, chịu tải 500 người dùng đồng thời: hoàn thành 87%,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VD11, VD13</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1.4.9 Kiểm thử hiệu năng trên môi trường kiểm thử: hoàn thành 0%,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VD11, VD12, VD13</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2.4.9 Đánh giá khả năng sử dụng của giao diện (Easy Operation): hoàn thành 50%,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VD11, VD13</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3.5.3 Diễn tập triển khai phiên bản chính thức và chuyển đổi dữ liệu trên môi trường vận hành: hoàn thành 0%, kế hoạch 66,7%</w:t>
            </w:r>
          </w:p>
        </w:tc>
        <w:tc>
          <w:tcPr>
            <w:tcW w:type="dxa" w:w="1900"/>
          </w:tcPr>
          <w:p>
            <w:pPr>
              <w:spacing w:before="0" w:after="40"/>
              <w:jc w:val="left"/>
            </w:pPr>
            <w:r>
              <w:rPr>
                <w:rFonts w:ascii="Times New Roman" w:hAnsi="Times New Roman" w:eastAsia="Times New Roman" w:cs="Times New Roman"/>
                <w:b w:val="0"/>
                <w:i w:val="0"/>
                <w:caps w:val="0"/>
                <w:color w:val="000000"/>
                <w:sz w:val="24"/>
              </w:rPr>
              <w:t>VD13</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4.5.3 Chuyển đổi thử dữ liệu sản phẩm, tồn kho do Chủ đầu tư cung cấp: hoàn thành 75%,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VD11, VD13</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5.4.3 Kiểm thử hệ thống luồng bán hàng trên sàn gồm đồng bộ, nhận đơn, trạng thái và đối soát: hoàn thành 0%, kế hoạch 50%</w:t>
            </w:r>
          </w:p>
        </w:tc>
        <w:tc>
          <w:tcPr>
            <w:tcW w:type="dxa" w:w="1900"/>
          </w:tcPr>
          <w:p>
            <w:pPr>
              <w:spacing w:before="0" w:after="40"/>
              <w:jc w:val="left"/>
            </w:pPr>
            <w:r>
              <w:rPr>
                <w:rFonts w:ascii="Times New Roman" w:hAnsi="Times New Roman" w:eastAsia="Times New Roman" w:cs="Times New Roman"/>
                <w:b w:val="0"/>
                <w:i w:val="0"/>
                <w:caps w:val="0"/>
                <w:color w:val="000000"/>
                <w:sz w:val="24"/>
              </w:rPr>
              <w:t>VD13</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Rủi ro đã xảy ra</w:t>
            </w:r>
          </w:p>
        </w:tc>
        <w:tc>
          <w:tcPr>
            <w:tcW w:type="dxa" w:w="5600"/>
          </w:tcPr>
          <w:p>
            <w:pPr>
              <w:spacing w:before="0" w:after="40"/>
              <w:jc w:val="left"/>
            </w:pPr>
            <w:r>
              <w:rPr>
                <w:rFonts w:ascii="Times New Roman" w:hAnsi="Times New Roman" w:eastAsia="Times New Roman" w:cs="Times New Roman"/>
                <w:b w:val="0"/>
                <w:i w:val="0"/>
                <w:caps w:val="0"/>
                <w:color w:val="000000"/>
                <w:sz w:val="24"/>
              </w:rPr>
              <w:t>Rủi ro RR06: Thời gian phản hồi vượt 2 giây hoặc không chịu tải 500 người dùng đồng thời</w:t>
            </w:r>
          </w:p>
        </w:tc>
        <w:tc>
          <w:tcPr>
            <w:tcW w:type="dxa" w:w="1900"/>
          </w:tcPr>
          <w:p>
            <w:pPr>
              <w:spacing w:before="0" w:after="40"/>
              <w:jc w:val="left"/>
            </w:pPr>
            <w:r>
              <w:rPr>
                <w:rFonts w:ascii="Times New Roman" w:hAnsi="Times New Roman" w:eastAsia="Times New Roman" w:cs="Times New Roman"/>
                <w:b w:val="0"/>
                <w:i w:val="0"/>
                <w:caps w:val="0"/>
                <w:color w:val="000000"/>
                <w:sz w:val="24"/>
              </w:rPr>
              <w:t>VD12</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có 13 vấn đề, đã đóng 12, còn mở 1.</w:t>
      </w:r>
    </w:p>
    <w:p>
      <w:pPr>
        <w:spacing w:before="0" w:after="100" w:line="300" w:lineRule="auto"/>
        <w:jc w:val="both"/>
      </w:pPr>
      <w:r>
        <w:rPr>
          <w:rFonts w:ascii="Times New Roman" w:hAnsi="Times New Roman" w:eastAsia="Times New Roman" w:cs="Times New Roman"/>
          <w:b w:val="0"/>
          <w:i w:val="0"/>
          <w:caps w:val="0"/>
          <w:color w:val="000000"/>
          <w:sz w:val="26"/>
        </w:rPr>
        <w:t>Vấn đề VD12 của rủi ro RR06 đã đóng khi thời gian phản hồi trang danh mục đạt dưới ngưỡng sau tối ưu, vấn đề VD11 đóng khi các gói chậm của kỳ trước hoàn thành.</w:t>
      </w:r>
    </w:p>
    <w:p>
      <w:pPr>
        <w:spacing w:before="0" w:after="100" w:line="300" w:lineRule="auto"/>
        <w:jc w:val="both"/>
      </w:pPr>
      <w:r>
        <w:rPr>
          <w:rFonts w:ascii="Times New Roman" w:hAnsi="Times New Roman" w:eastAsia="Times New Roman" w:cs="Times New Roman"/>
          <w:b w:val="0"/>
          <w:i w:val="0"/>
          <w:caps w:val="0"/>
          <w:color w:val="000000"/>
          <w:sz w:val="26"/>
        </w:rPr>
        <w:t>Vấn đề VD13 ưu tiên cao tổng hợp các gói chậm cuối kỳ có nguy cơ làm muộn kiểm thử hệ thống trên đường găng, hành động bố trí lại công việc đầu kỳ tới có hạn 02/07/2027. Rủi ro RR03 về kiểm thử hệ thống hoàn thành muộn được theo dõi hằng ngày trong kỳ tới.</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biên bản xác nhận đặc tả (M2) ký ngày 06/05/2027, không còn yêu cầu sửa đổi đặc tả đã xác nhận đang mở (CR01 là bổ sung phạm vi theo phụ lục)</w:t>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30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xảy ra</w:t>
            </w:r>
          </w:p>
        </w:tc>
        <w:tc>
          <w:tcPr>
            <w:tcW w:type="dxa" w:w="2000"/>
          </w:tcPr>
          <w:p>
            <w:pPr>
              <w:spacing w:before="0" w:after="40"/>
              <w:jc w:val="left"/>
            </w:pPr>
            <w:r>
              <w:rPr>
                <w:rFonts w:ascii="Times New Roman" w:hAnsi="Times New Roman" w:eastAsia="Times New Roman" w:cs="Times New Roman"/>
                <w:b w:val="0"/>
                <w:i w:val="0"/>
                <w:caps w:val="0"/>
                <w:color w:val="000000"/>
                <w:sz w:val="24"/>
              </w:rPr>
              <w:t>Đỗ Minh Quân tối ưu truy vấn danh mục và bộ nhớ đệm thay Phạm Tuấn Anh (không huy động trong S7), Ninh Đức Toàn rà soát cấu hình mở rộng nút ứng dụng trên môi trường vận hành, Phạm Ngọc Anh đo lại sau tối ưu</w:t>
            </w:r>
          </w:p>
        </w:tc>
        <w:tc>
          <w:tcPr>
            <w:tcW w:type="dxa" w:w="11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Chủ đầu tư bàn giao môi trường thử Main System đúng hạn 20/05/2027, không sớm hơn, kiểm thử tích hợp 4.4.3 đã bắt đầu</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300"/>
        <w:gridCol w:w="700"/>
        <w:gridCol w:w="1400"/>
        <w:gridCol w:w="11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
          </w:tcPr>
          <w:p>
            <w:pPr>
              <w:spacing w:before="0" w:after="40"/>
              <w:jc w:val="right"/>
            </w:pPr>
            <w:r>
              <w:rPr>
                <w:rFonts w:ascii="Times New Roman" w:hAnsi="Times New Roman" w:eastAsia="Times New Roman" w:cs="Times New Roman"/>
                <w:b w:val="0"/>
                <w:i w:val="0"/>
                <w:caps w:val="0"/>
                <w:color w:val="000000"/>
                <w:sz w:val="24"/>
              </w:rPr>
              <w:t>MD</w:t>
            </w:r>
          </w:p>
        </w:tc>
        <w:tc>
          <w:tcPr>
            <w:tcW w:type="dxa" w:w="1400"/>
          </w:tcPr>
          <w:p>
            <w:pPr>
              <w:spacing w:before="0" w:after="40"/>
              <w:jc w:val="right"/>
            </w:pPr>
            <w:r>
              <w:rPr>
                <w:rFonts w:ascii="Times New Roman" w:hAnsi="Times New Roman" w:eastAsia="Times New Roman" w:cs="Times New Roman"/>
                <w:b w:val="0"/>
                <w:i w:val="0"/>
                <w:caps w:val="0"/>
                <w:color w:val="000000"/>
                <w:sz w:val="24"/>
              </w:rPr>
              <w:t>Giá đề nghị,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Cut over lùi,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0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Đã phê duyệt</w:t>
            </w:r>
          </w:p>
        </w:tc>
        <w:tc>
          <w:tcPr>
            <w:tcW w:type="dxa" w:w="700"/>
          </w:tcPr>
          <w:p>
            <w:pPr>
              <w:spacing w:before="0" w:after="40"/>
              <w:jc w:val="right"/>
            </w:pPr>
            <w:r>
              <w:rPr>
                <w:rFonts w:ascii="Times New Roman" w:hAnsi="Times New Roman" w:eastAsia="Times New Roman" w:cs="Times New Roman"/>
                <w:b w:val="0"/>
                <w:i w:val="0"/>
                <w:caps w:val="0"/>
                <w:color w:val="000000"/>
                <w:sz w:val="24"/>
              </w:rPr>
              <w:t>76,00</w:t>
            </w:r>
          </w:p>
        </w:tc>
        <w:tc>
          <w:tcPr>
            <w:tcW w:type="dxa" w:w="1400"/>
          </w:tcPr>
          <w:p>
            <w:pPr>
              <w:spacing w:before="0" w:after="40"/>
              <w:jc w:val="right"/>
            </w:pPr>
            <w:r>
              <w:rPr>
                <w:rFonts w:ascii="Times New Roman" w:hAnsi="Times New Roman" w:eastAsia="Times New Roman" w:cs="Times New Roman"/>
                <w:b w:val="0"/>
                <w:i w:val="0"/>
                <w:caps w:val="0"/>
                <w:color w:val="000000"/>
                <w:sz w:val="24"/>
              </w:rPr>
              <w:t>199.024.682</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Mục tiêu S8 theo master schedule hiện hành: Khắc phục lỗi sau kiểm thử hệ thống (M4), Chủ đầu tư kiểm tra chức năng chính và tích hợp với Main System (M3), diễn tập triển khai, giám sát vận hành, cùng với hoàn thành kiểm thử hệ thống, khắc phục lỗi và kiểm thử lại phần bán hàng trên sàn, bàn giao mã nguồn phần sàn và cấu hình kết nối sàn trên môi trường vận hành (CR01). Kế hoạch kỳ tới là 40,53 MD trên quỹ 53,00 MD.</w:t>
      </w:r>
    </w:p>
    <w:p>
      <w:pPr>
        <w:spacing w:before="0" w:after="100" w:line="300" w:lineRule="auto"/>
        <w:jc w:val="both"/>
      </w:pPr>
      <w:r>
        <w:rPr>
          <w:rFonts w:ascii="Times New Roman" w:hAnsi="Times New Roman" w:eastAsia="Times New Roman" w:cs="Times New Roman"/>
          <w:b w:val="0"/>
          <w:i w:val="0"/>
          <w:caps w:val="0"/>
          <w:color w:val="000000"/>
          <w:sz w:val="26"/>
        </w:rPr>
        <w:t>Gói ưu tiên là kiểm thử hệ thống 4.4.5 và các gói trên đường găng, hoàn thành các gói chậm nêu trong vấn đề VD13. Mốc M3 có hạn 08/07/2027, gắn đợt thanh toán 3, mốc M4 có hạn 15/07/2027. Nhóm đề nghị Chủ đầu tư bố trí người kiểm tra chức năng chính và tích hợp với Main System cho mốc M3.</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S7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2026-10-25T17:58:48Z</dcterms:created>
  <dcterms:modified xsi:type="dcterms:W3CDTF">2026-10-25T17:58:48Z</dcterms:modified>
  <cp:category/>
</cp:coreProperties>
</file>