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S8, ngày báo cáo 15/07/2027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15/07/2027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83/103 ngày làm việc (80,6%)</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654,26/733,00 MD (89,3%)</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1,00</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0,98</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658,50/818,00 MD (80,5%)</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29/07/2027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S8 ngày 15/07/2027, dự án ở trạng thái chung Xanh. SPI đạt 1,00 ở mức Xanh, CPI theo công đạt 0,99 ở mức Xanh, CPI theo chi phí thực đạt 0,98 ở mức Xanh. Giá trị thu được lũy kế 654,26 MD so với kế hoạch 656,48 MD, công thực tế 658,50 MD, khối lượng hoàn thành đạt 89,3% toàn dự án. Các gói chậm của kỳ trước hoàn thành nhờ huy động bổ sung theo nhu cầu cho kiểm thử viên và kỹ sư phát triển còn việc, lương trả theo công sức thực tế nên phần huy động thêm chỉ tính theo MD thực làm. Kiểm thử hệ thống và khắc phục lỗi hoàn thành, rủi ro RR06 được đóng sau khi đo lại hiệu năng đạt.</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29/07/2027, không muộn hơn ngày cut over 29/07/2027 theo phụ lục hợp đồng, TCPI 1,06. Tỷ lệ sử dụng quỹ huy động đạt 80,5%, còn 159,50 MD sẵn sàng không ghi công trên 818,00 MD huy động. Chi phí khác đã chi lũy kế 60.000.000 đồng, EAC theo chi phí thực 1.502,52 triệu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656,48</w:t>
            </w:r>
          </w:p>
        </w:tc>
        <w:tc>
          <w:tcPr>
            <w:tcW w:type="dxa" w:w="3200"/>
          </w:tcPr>
          <w:p>
            <w:pPr>
              <w:spacing w:before="0" w:after="40"/>
              <w:jc w:val="right"/>
            </w:pPr>
            <w:r>
              <w:rPr>
                <w:rFonts w:ascii="Times New Roman" w:hAnsi="Times New Roman" w:eastAsia="Times New Roman" w:cs="Times New Roman"/>
                <w:b w:val="0"/>
                <w:i w:val="0"/>
                <w:caps w:val="0"/>
                <w:color w:val="000000"/>
                <w:sz w:val="24"/>
              </w:rPr>
              <w:t>1.418.556.989</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654,26</w:t>
            </w:r>
          </w:p>
        </w:tc>
        <w:tc>
          <w:tcPr>
            <w:tcW w:type="dxa" w:w="3200"/>
          </w:tcPr>
          <w:p>
            <w:pPr>
              <w:spacing w:before="0" w:after="40"/>
              <w:jc w:val="right"/>
            </w:pPr>
            <w:r>
              <w:rPr>
                <w:rFonts w:ascii="Times New Roman" w:hAnsi="Times New Roman" w:eastAsia="Times New Roman" w:cs="Times New Roman"/>
                <w:b w:val="0"/>
                <w:i w:val="0"/>
                <w:caps w:val="0"/>
                <w:color w:val="000000"/>
                <w:sz w:val="24"/>
              </w:rPr>
              <w:t>1.412.993.000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658,50</w:t>
            </w:r>
          </w:p>
        </w:tc>
        <w:tc>
          <w:tcPr>
            <w:tcW w:type="dxa" w:w="3200"/>
          </w:tcPr>
          <w:p>
            <w:pPr>
              <w:spacing w:before="0" w:after="40"/>
              <w:jc w:val="right"/>
            </w:pPr>
            <w:r>
              <w:rPr>
                <w:rFonts w:ascii="Times New Roman" w:hAnsi="Times New Roman" w:eastAsia="Times New Roman" w:cs="Times New Roman"/>
                <w:b w:val="0"/>
                <w:i w:val="0"/>
                <w:caps w:val="0"/>
                <w:color w:val="000000"/>
                <w:sz w:val="24"/>
              </w:rPr>
              <w:t>1.422.087.500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-2,22</w:t>
            </w:r>
          </w:p>
        </w:tc>
        <w:tc>
          <w:tcPr>
            <w:tcW w:type="dxa" w:w="3200"/>
          </w:tcPr>
          <w:p>
            <w:pPr>
              <w:spacing w:before="0" w:after="40"/>
              <w:jc w:val="right"/>
            </w:pPr>
            <w:r>
              <w:rPr>
                <w:rFonts w:ascii="Times New Roman" w:hAnsi="Times New Roman" w:eastAsia="Times New Roman" w:cs="Times New Roman"/>
                <w:b w:val="0"/>
                <w:i w:val="0"/>
                <w:caps w:val="0"/>
                <w:color w:val="000000"/>
                <w:sz w:val="24"/>
              </w:rPr>
              <w:t>âm 5.563.989</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-4,24</w:t>
            </w:r>
          </w:p>
        </w:tc>
        <w:tc>
          <w:tcPr>
            <w:tcW w:type="dxa" w:w="3200"/>
          </w:tcPr>
          <w:p>
            <w:pPr>
              <w:spacing w:before="0" w:after="40"/>
              <w:jc w:val="right"/>
            </w:pPr>
            <w:r>
              <w:rPr>
                <w:rFonts w:ascii="Times New Roman" w:hAnsi="Times New Roman" w:eastAsia="Times New Roman" w:cs="Times New Roman"/>
                <w:b w:val="0"/>
                <w:i w:val="0"/>
                <w:caps w:val="0"/>
                <w:color w:val="000000"/>
                <w:sz w:val="24"/>
              </w:rPr>
              <w:t>âm 9.094.500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737,75</w:t>
            </w:r>
          </w:p>
        </w:tc>
        <w:tc>
          <w:tcPr>
            <w:tcW w:type="dxa" w:w="3200"/>
          </w:tcPr>
          <w:p>
            <w:pPr>
              <w:spacing w:before="0" w:after="40"/>
              <w:jc w:val="right"/>
            </w:pPr>
            <w:r>
              <w:rPr>
                <w:rFonts w:ascii="Times New Roman" w:hAnsi="Times New Roman" w:eastAsia="Times New Roman" w:cs="Times New Roman"/>
                <w:b w:val="0"/>
                <w:i w:val="0"/>
                <w:caps w:val="0"/>
                <w:color w:val="000000"/>
                <w:sz w:val="24"/>
              </w:rPr>
              <w:t>1.591.729.390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79,25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-4,75</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1,06</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1.191.005.932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1.173.648.315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1.198.328.920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24.680.605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0,98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60.000.000,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1.258.328.920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1.502.520.046</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24.680.605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446.504.636</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658,50, 159,50 (80,5%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818,00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S8</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656,48</w:t>
            </w:r>
          </w:p>
        </w:tc>
        <w:tc>
          <w:tcPr>
            <w:tcW w:type="dxa" w:w="1100"/>
          </w:tcPr>
          <w:p>
            <w:pPr>
              <w:spacing w:before="0" w:after="40"/>
              <w:jc w:val="right"/>
            </w:pPr>
            <w:r>
              <w:rPr>
                <w:rFonts w:ascii="Times New Roman" w:hAnsi="Times New Roman" w:eastAsia="Times New Roman" w:cs="Times New Roman"/>
                <w:b w:val="0"/>
                <w:i w:val="0"/>
                <w:caps w:val="0"/>
                <w:color w:val="000000"/>
                <w:sz w:val="24"/>
              </w:rPr>
              <w:t>654,26</w:t>
            </w:r>
          </w:p>
        </w:tc>
        <w:tc>
          <w:tcPr>
            <w:tcW w:type="dxa" w:w="1100"/>
          </w:tcPr>
          <w:p>
            <w:pPr>
              <w:spacing w:before="0" w:after="40"/>
              <w:jc w:val="right"/>
            </w:pPr>
            <w:r>
              <w:rPr>
                <w:rFonts w:ascii="Times New Roman" w:hAnsi="Times New Roman" w:eastAsia="Times New Roman" w:cs="Times New Roman"/>
                <w:b w:val="0"/>
                <w:i w:val="0"/>
                <w:caps w:val="0"/>
                <w:color w:val="000000"/>
                <w:sz w:val="24"/>
              </w:rPr>
              <w:t>658,50</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trong hạn, sau kế hoạch 2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2.5.2</w:t>
            </w:r>
          </w:p>
        </w:tc>
        <w:tc>
          <w:tcPr>
            <w:tcW w:type="dxa" w:w="34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87,0%</w:t>
            </w:r>
          </w:p>
        </w:tc>
        <w:tc>
          <w:tcPr>
            <w:tcW w:type="dxa" w:w="19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4.5.6</w:t>
            </w:r>
          </w:p>
        </w:tc>
        <w:tc>
          <w:tcPr>
            <w:tcW w:type="dxa" w:w="3400"/>
          </w:tcPr>
          <w:p>
            <w:pPr>
              <w:spacing w:before="0" w:after="40"/>
              <w:jc w:val="left"/>
            </w:pPr>
            <w:r>
              <w:rPr>
                <w:rFonts w:ascii="Times New Roman" w:hAnsi="Times New Roman" w:eastAsia="Times New Roman" w:cs="Times New Roman"/>
                <w:b w:val="0"/>
                <w:i w:val="0"/>
                <w:caps w:val="0"/>
                <w:color w:val="000000"/>
                <w:sz w:val="24"/>
              </w:rPr>
              <w:t>Giám sát vận hành và chuẩn bị hỗ trợ tăng cường sau cut over</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75,0%</w:t>
            </w:r>
          </w:p>
        </w:tc>
        <w:tc>
          <w:tcPr>
            <w:tcW w:type="dxa" w:w="19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5.5.1</w:t>
            </w:r>
          </w:p>
        </w:tc>
        <w:tc>
          <w:tcPr>
            <w:tcW w:type="dxa" w:w="3400"/>
          </w:tcPr>
          <w:p>
            <w:pPr>
              <w:spacing w:before="0" w:after="40"/>
              <w:jc w:val="left"/>
            </w:pPr>
            <w:r>
              <w:rPr>
                <w:rFonts w:ascii="Times New Roman" w:hAnsi="Times New Roman" w:eastAsia="Times New Roman" w:cs="Times New Roman"/>
                <w:b w:val="0"/>
                <w:i w:val="0"/>
                <w:caps w:val="0"/>
                <w:color w:val="000000"/>
                <w:sz w:val="24"/>
              </w:rPr>
              <w:t>Cấu hình kết nối sàn trên môi trường vận hành</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14/07/2027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kiểm thử hiệu năng 1.4.9, đánh giá khả năng sử dụng 2.4.9, gói găng khắc phục lỗi sau kiểm thử hệ thống 4.4.5, chuyển đổi thử dữ liệu 4.5.3 và diễn tập triển khai 3.5.3, tài liệu chức năng và nghiệm thu nội bộ các phân hệ 1.4.7, 2.4.7, 3.4.9, cập nhật đặc tả 3.2.12. Phần bán hàng trên sàn hoàn thành kiểm thử hệ thống 5.4.3, khắc phục lỗi và kiểm thử lại 5.4.4, bàn giao mã nguồn 5.5.3.</w:t>
      </w:r>
    </w:p>
    <w:p>
      <w:pPr>
        <w:spacing w:before="0" w:after="100" w:line="300" w:lineRule="auto"/>
        <w:jc w:val="both"/>
      </w:pPr>
      <w:r>
        <w:rPr>
          <w:rFonts w:ascii="Times New Roman" w:hAnsi="Times New Roman" w:eastAsia="Times New Roman" w:cs="Times New Roman"/>
          <w:b w:val="0"/>
          <w:i w:val="0"/>
          <w:caps w:val="0"/>
          <w:color w:val="000000"/>
          <w:sz w:val="26"/>
        </w:rPr>
        <w:t>Mốc M3 đạt ngày 08/07/2027, đúng hạn, đủ điều kiện đợt thanh toán 3. Mốc M4 đạt ngày 12/07/2027, trong hạn 15/07/2027. Bản phát hành R8 cuối sprint là bản sẵn sàng kiểm thử chấp nhận gồm phần bán hàng trên sàn. Cấu hình kết nối sàn trên môi trường vận hành 5.5.1 chuyển sang đầu kỳ tới.</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59,81</w:t>
            </w:r>
          </w:p>
        </w:tc>
        <w:tc>
          <w:tcPr>
            <w:tcW w:type="dxa" w:w="1300"/>
          </w:tcPr>
          <w:p>
            <w:pPr>
              <w:spacing w:before="0" w:after="40"/>
              <w:jc w:val="right"/>
            </w:pPr>
            <w:r>
              <w:rPr>
                <w:rFonts w:ascii="Times New Roman" w:hAnsi="Times New Roman" w:eastAsia="Times New Roman" w:cs="Times New Roman"/>
                <w:b w:val="0"/>
                <w:i w:val="0"/>
                <w:caps w:val="0"/>
                <w:color w:val="000000"/>
                <w:sz w:val="24"/>
              </w:rPr>
              <w:t>62,25</w:t>
            </w:r>
          </w:p>
        </w:tc>
        <w:tc>
          <w:tcPr>
            <w:tcW w:type="dxa" w:w="1300"/>
          </w:tcPr>
          <w:p>
            <w:pPr>
              <w:spacing w:before="0" w:after="40"/>
              <w:jc w:val="right"/>
            </w:pPr>
            <w:r>
              <w:rPr>
                <w:rFonts w:ascii="Times New Roman" w:hAnsi="Times New Roman" w:eastAsia="Times New Roman" w:cs="Times New Roman"/>
                <w:b w:val="0"/>
                <w:i w:val="0"/>
                <w:caps w:val="0"/>
                <w:color w:val="000000"/>
                <w:sz w:val="24"/>
              </w:rPr>
              <w:t>2,44</w:t>
            </w:r>
          </w:p>
        </w:tc>
        <w:tc>
          <w:tcPr>
            <w:tcW w:type="dxa" w:w="1400"/>
          </w:tcPr>
          <w:p>
            <w:pPr>
              <w:spacing w:before="0" w:after="40"/>
              <w:jc w:val="right"/>
            </w:pPr>
            <w:r>
              <w:rPr>
                <w:rFonts w:ascii="Times New Roman" w:hAnsi="Times New Roman" w:eastAsia="Times New Roman" w:cs="Times New Roman"/>
                <w:b w:val="0"/>
                <w:i w:val="0"/>
                <w:caps w:val="0"/>
                <w:color w:val="000000"/>
                <w:sz w:val="24"/>
              </w:rPr>
              <w:t>78,00</w:t>
            </w:r>
          </w:p>
        </w:tc>
        <w:tc>
          <w:tcPr>
            <w:tcW w:type="dxa" w:w="1500"/>
          </w:tcPr>
          <w:p>
            <w:pPr>
              <w:spacing w:before="0" w:after="40"/>
              <w:jc w:val="right"/>
            </w:pPr>
            <w:r>
              <w:rPr>
                <w:rFonts w:ascii="Times New Roman" w:hAnsi="Times New Roman" w:eastAsia="Times New Roman" w:cs="Times New Roman"/>
                <w:b w:val="0"/>
                <w:i w:val="0"/>
                <w:caps w:val="0"/>
                <w:color w:val="000000"/>
                <w:sz w:val="24"/>
              </w:rPr>
              <w:t>15,75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45,00</w:t>
            </w:r>
          </w:p>
        </w:tc>
        <w:tc>
          <w:tcPr>
            <w:tcW w:type="dxa" w:w="1300"/>
          </w:tcPr>
          <w:p>
            <w:pPr>
              <w:spacing w:before="0" w:after="40"/>
              <w:jc w:val="right"/>
            </w:pPr>
            <w:r>
              <w:rPr>
                <w:rFonts w:ascii="Times New Roman" w:hAnsi="Times New Roman" w:eastAsia="Times New Roman" w:cs="Times New Roman"/>
                <w:b w:val="0"/>
                <w:i w:val="0"/>
                <w:caps w:val="0"/>
                <w:color w:val="000000"/>
                <w:sz w:val="24"/>
              </w:rPr>
              <w:t>45,25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17,75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54,00</w:t>
            </w:r>
          </w:p>
        </w:tc>
        <w:tc>
          <w:tcPr>
            <w:tcW w:type="dxa" w:w="1300"/>
          </w:tcPr>
          <w:p>
            <w:pPr>
              <w:spacing w:before="0" w:after="40"/>
              <w:jc w:val="right"/>
            </w:pPr>
            <w:r>
              <w:rPr>
                <w:rFonts w:ascii="Times New Roman" w:hAnsi="Times New Roman" w:eastAsia="Times New Roman" w:cs="Times New Roman"/>
                <w:b w:val="0"/>
                <w:i w:val="0"/>
                <w:caps w:val="0"/>
                <w:color w:val="000000"/>
                <w:sz w:val="24"/>
              </w:rPr>
              <w:t>53,50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66,00</w:t>
            </w:r>
          </w:p>
        </w:tc>
        <w:tc>
          <w:tcPr>
            <w:tcW w:type="dxa" w:w="1500"/>
          </w:tcPr>
          <w:p>
            <w:pPr>
              <w:spacing w:before="0" w:after="40"/>
              <w:jc w:val="right"/>
            </w:pPr>
            <w:r>
              <w:rPr>
                <w:rFonts w:ascii="Times New Roman" w:hAnsi="Times New Roman" w:eastAsia="Times New Roman" w:cs="Times New Roman"/>
                <w:b w:val="0"/>
                <w:i w:val="0"/>
                <w:caps w:val="0"/>
                <w:color w:val="000000"/>
                <w:sz w:val="24"/>
              </w:rPr>
              <w:t>12,50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57,50</w:t>
            </w:r>
          </w:p>
        </w:tc>
        <w:tc>
          <w:tcPr>
            <w:tcW w:type="dxa" w:w="1300"/>
          </w:tcPr>
          <w:p>
            <w:pPr>
              <w:spacing w:before="0" w:after="40"/>
              <w:jc w:val="right"/>
            </w:pPr>
            <w:r>
              <w:rPr>
                <w:rFonts w:ascii="Times New Roman" w:hAnsi="Times New Roman" w:eastAsia="Times New Roman" w:cs="Times New Roman"/>
                <w:b w:val="0"/>
                <w:i w:val="0"/>
                <w:caps w:val="0"/>
                <w:color w:val="000000"/>
                <w:sz w:val="24"/>
              </w:rPr>
              <w:t>58,50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66,00</w:t>
            </w:r>
          </w:p>
        </w:tc>
        <w:tc>
          <w:tcPr>
            <w:tcW w:type="dxa" w:w="1500"/>
          </w:tcPr>
          <w:p>
            <w:pPr>
              <w:spacing w:before="0" w:after="40"/>
              <w:jc w:val="right"/>
            </w:pPr>
            <w:r>
              <w:rPr>
                <w:rFonts w:ascii="Times New Roman" w:hAnsi="Times New Roman" w:eastAsia="Times New Roman" w:cs="Times New Roman"/>
                <w:b w:val="0"/>
                <w:i w:val="0"/>
                <w:caps w:val="0"/>
                <w:color w:val="000000"/>
                <w:sz w:val="24"/>
              </w:rPr>
              <w:t>7,50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67,00</w:t>
            </w:r>
          </w:p>
        </w:tc>
        <w:tc>
          <w:tcPr>
            <w:tcW w:type="dxa" w:w="1300"/>
          </w:tcPr>
          <w:p>
            <w:pPr>
              <w:spacing w:before="0" w:after="40"/>
              <w:jc w:val="right"/>
            </w:pPr>
            <w:r>
              <w:rPr>
                <w:rFonts w:ascii="Times New Roman" w:hAnsi="Times New Roman" w:eastAsia="Times New Roman" w:cs="Times New Roman"/>
                <w:b w:val="0"/>
                <w:i w:val="0"/>
                <w:caps w:val="0"/>
                <w:color w:val="000000"/>
                <w:sz w:val="24"/>
              </w:rPr>
              <w:t>67,75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76,00</w:t>
            </w:r>
          </w:p>
        </w:tc>
        <w:tc>
          <w:tcPr>
            <w:tcW w:type="dxa" w:w="1500"/>
          </w:tcPr>
          <w:p>
            <w:pPr>
              <w:spacing w:before="0" w:after="40"/>
              <w:jc w:val="right"/>
            </w:pPr>
            <w:r>
              <w:rPr>
                <w:rFonts w:ascii="Times New Roman" w:hAnsi="Times New Roman" w:eastAsia="Times New Roman" w:cs="Times New Roman"/>
                <w:b w:val="0"/>
                <w:i w:val="0"/>
                <w:caps w:val="0"/>
                <w:color w:val="000000"/>
                <w:sz w:val="24"/>
              </w:rPr>
              <w:t>8,25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64,17</w:t>
            </w:r>
          </w:p>
        </w:tc>
        <w:tc>
          <w:tcPr>
            <w:tcW w:type="dxa" w:w="1300"/>
          </w:tcPr>
          <w:p>
            <w:pPr>
              <w:spacing w:before="0" w:after="40"/>
              <w:jc w:val="right"/>
            </w:pPr>
            <w:r>
              <w:rPr>
                <w:rFonts w:ascii="Times New Roman" w:hAnsi="Times New Roman" w:eastAsia="Times New Roman" w:cs="Times New Roman"/>
                <w:b w:val="0"/>
                <w:i w:val="0"/>
                <w:caps w:val="0"/>
                <w:color w:val="000000"/>
                <w:sz w:val="24"/>
              </w:rPr>
              <w:t>65,25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72,00</w:t>
            </w:r>
          </w:p>
        </w:tc>
        <w:tc>
          <w:tcPr>
            <w:tcW w:type="dxa" w:w="1500"/>
          </w:tcPr>
          <w:p>
            <w:pPr>
              <w:spacing w:before="0" w:after="40"/>
              <w:jc w:val="right"/>
            </w:pPr>
            <w:r>
              <w:rPr>
                <w:rFonts w:ascii="Times New Roman" w:hAnsi="Times New Roman" w:eastAsia="Times New Roman" w:cs="Times New Roman"/>
                <w:b w:val="0"/>
                <w:i w:val="0"/>
                <w:caps w:val="0"/>
                <w:color w:val="000000"/>
                <w:sz w:val="24"/>
              </w:rPr>
              <w:t>6,75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59,50</w:t>
            </w:r>
          </w:p>
        </w:tc>
        <w:tc>
          <w:tcPr>
            <w:tcW w:type="dxa" w:w="1300"/>
          </w:tcPr>
          <w:p>
            <w:pPr>
              <w:spacing w:before="0" w:after="40"/>
              <w:jc w:val="right"/>
            </w:pPr>
            <w:r>
              <w:rPr>
                <w:rFonts w:ascii="Times New Roman" w:hAnsi="Times New Roman" w:eastAsia="Times New Roman" w:cs="Times New Roman"/>
                <w:b w:val="0"/>
                <w:i w:val="0"/>
                <w:caps w:val="0"/>
                <w:color w:val="000000"/>
                <w:sz w:val="24"/>
              </w:rPr>
              <w:t>59,00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76,00</w:t>
            </w:r>
          </w:p>
        </w:tc>
        <w:tc>
          <w:tcPr>
            <w:tcW w:type="dxa" w:w="1500"/>
          </w:tcPr>
          <w:p>
            <w:pPr>
              <w:spacing w:before="0" w:after="40"/>
              <w:jc w:val="right"/>
            </w:pPr>
            <w:r>
              <w:rPr>
                <w:rFonts w:ascii="Times New Roman" w:hAnsi="Times New Roman" w:eastAsia="Times New Roman" w:cs="Times New Roman"/>
                <w:b w:val="0"/>
                <w:i w:val="0"/>
                <w:caps w:val="0"/>
                <w:color w:val="000000"/>
                <w:sz w:val="24"/>
              </w:rPr>
              <w:t>17,00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54,00</w:t>
            </w:r>
          </w:p>
        </w:tc>
        <w:tc>
          <w:tcPr>
            <w:tcW w:type="dxa" w:w="1300"/>
          </w:tcPr>
          <w:p>
            <w:pPr>
              <w:spacing w:before="0" w:after="40"/>
              <w:jc w:val="right"/>
            </w:pPr>
            <w:r>
              <w:rPr>
                <w:rFonts w:ascii="Times New Roman" w:hAnsi="Times New Roman" w:eastAsia="Times New Roman" w:cs="Times New Roman"/>
                <w:b w:val="0"/>
                <w:i w:val="0"/>
                <w:caps w:val="0"/>
                <w:color w:val="000000"/>
                <w:sz w:val="24"/>
              </w:rPr>
              <w:t>54,25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67,00</w:t>
            </w:r>
          </w:p>
        </w:tc>
        <w:tc>
          <w:tcPr>
            <w:tcW w:type="dxa" w:w="1500"/>
          </w:tcPr>
          <w:p>
            <w:pPr>
              <w:spacing w:before="0" w:after="40"/>
              <w:jc w:val="right"/>
            </w:pPr>
            <w:r>
              <w:rPr>
                <w:rFonts w:ascii="Times New Roman" w:hAnsi="Times New Roman" w:eastAsia="Times New Roman" w:cs="Times New Roman"/>
                <w:b w:val="0"/>
                <w:i w:val="0"/>
                <w:caps w:val="0"/>
                <w:color w:val="000000"/>
                <w:sz w:val="24"/>
              </w:rPr>
              <w:t>12,75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56,00</w:t>
            </w:r>
          </w:p>
        </w:tc>
        <w:tc>
          <w:tcPr>
            <w:tcW w:type="dxa" w:w="1300"/>
          </w:tcPr>
          <w:p>
            <w:pPr>
              <w:spacing w:before="0" w:after="40"/>
              <w:jc w:val="right"/>
            </w:pPr>
            <w:r>
              <w:rPr>
                <w:rFonts w:ascii="Times New Roman" w:hAnsi="Times New Roman" w:eastAsia="Times New Roman" w:cs="Times New Roman"/>
                <w:b w:val="0"/>
                <w:i w:val="0"/>
                <w:caps w:val="0"/>
                <w:color w:val="000000"/>
                <w:sz w:val="24"/>
              </w:rPr>
              <w:t>56,25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81,00</w:t>
            </w:r>
          </w:p>
        </w:tc>
        <w:tc>
          <w:tcPr>
            <w:tcW w:type="dxa" w:w="1500"/>
          </w:tcPr>
          <w:p>
            <w:pPr>
              <w:spacing w:before="0" w:after="40"/>
              <w:jc w:val="right"/>
            </w:pPr>
            <w:r>
              <w:rPr>
                <w:rFonts w:ascii="Times New Roman" w:hAnsi="Times New Roman" w:eastAsia="Times New Roman" w:cs="Times New Roman"/>
                <w:b w:val="0"/>
                <w:i w:val="0"/>
                <w:caps w:val="0"/>
                <w:color w:val="000000"/>
                <w:sz w:val="24"/>
              </w:rPr>
              <w:t>24,75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44,00</w:t>
            </w:r>
          </w:p>
        </w:tc>
        <w:tc>
          <w:tcPr>
            <w:tcW w:type="dxa" w:w="1300"/>
          </w:tcPr>
          <w:p>
            <w:pPr>
              <w:spacing w:before="0" w:after="40"/>
              <w:jc w:val="right"/>
            </w:pPr>
            <w:r>
              <w:rPr>
                <w:rFonts w:ascii="Times New Roman" w:hAnsi="Times New Roman" w:eastAsia="Times New Roman" w:cs="Times New Roman"/>
                <w:b w:val="0"/>
                <w:i w:val="0"/>
                <w:caps w:val="0"/>
                <w:color w:val="000000"/>
                <w:sz w:val="24"/>
              </w:rPr>
              <w:t>44,25</w:t>
            </w:r>
          </w:p>
        </w:tc>
        <w:tc>
          <w:tcPr>
            <w:tcW w:type="dxa" w:w="1300"/>
          </w:tcPr>
          <w:p>
            <w:pPr>
              <w:spacing w:before="0" w:after="40"/>
              <w:jc w:val="right"/>
            </w:pPr>
            <w:r>
              <w:rPr>
                <w:rFonts w:ascii="Times New Roman" w:hAnsi="Times New Roman" w:eastAsia="Times New Roman" w:cs="Times New Roman"/>
                <w:b w:val="0"/>
                <w:i w:val="0"/>
                <w:caps w:val="0"/>
                <w:color w:val="000000"/>
                <w:sz w:val="24"/>
              </w:rPr>
              <w:t>0,25</w:t>
            </w:r>
          </w:p>
        </w:tc>
        <w:tc>
          <w:tcPr>
            <w:tcW w:type="dxa" w:w="1400"/>
          </w:tcPr>
          <w:p>
            <w:pPr>
              <w:spacing w:before="0" w:after="40"/>
              <w:jc w:val="right"/>
            </w:pPr>
            <w:r>
              <w:rPr>
                <w:rFonts w:ascii="Times New Roman" w:hAnsi="Times New Roman" w:eastAsia="Times New Roman" w:cs="Times New Roman"/>
                <w:b w:val="0"/>
                <w:i w:val="0"/>
                <w:caps w:val="0"/>
                <w:color w:val="000000"/>
                <w:sz w:val="24"/>
              </w:rPr>
              <w:t>63,00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42,00</w:t>
            </w:r>
          </w:p>
        </w:tc>
        <w:tc>
          <w:tcPr>
            <w:tcW w:type="dxa" w:w="1300"/>
          </w:tcPr>
          <w:p>
            <w:pPr>
              <w:spacing w:before="0" w:after="40"/>
              <w:jc w:val="right"/>
            </w:pPr>
            <w:r>
              <w:rPr>
                <w:rFonts w:ascii="Times New Roman" w:hAnsi="Times New Roman" w:eastAsia="Times New Roman" w:cs="Times New Roman"/>
                <w:b w:val="0"/>
                <w:i w:val="0"/>
                <w:caps w:val="0"/>
                <w:color w:val="000000"/>
                <w:sz w:val="24"/>
              </w:rPr>
              <w:t>41,50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54,00</w:t>
            </w:r>
          </w:p>
        </w:tc>
        <w:tc>
          <w:tcPr>
            <w:tcW w:type="dxa" w:w="1500"/>
          </w:tcPr>
          <w:p>
            <w:pPr>
              <w:spacing w:before="0" w:after="40"/>
              <w:jc w:val="right"/>
            </w:pPr>
            <w:r>
              <w:rPr>
                <w:rFonts w:ascii="Times New Roman" w:hAnsi="Times New Roman" w:eastAsia="Times New Roman" w:cs="Times New Roman"/>
                <w:b w:val="0"/>
                <w:i w:val="0"/>
                <w:caps w:val="0"/>
                <w:color w:val="000000"/>
                <w:sz w:val="24"/>
              </w:rPr>
              <w:t>12,50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53,50</w:t>
            </w:r>
          </w:p>
        </w:tc>
        <w:tc>
          <w:tcPr>
            <w:tcW w:type="dxa" w:w="1300"/>
          </w:tcPr>
          <w:p>
            <w:pPr>
              <w:spacing w:before="0" w:after="40"/>
              <w:jc w:val="right"/>
            </w:pPr>
            <w:r>
              <w:rPr>
                <w:rFonts w:ascii="Times New Roman" w:hAnsi="Times New Roman" w:eastAsia="Times New Roman" w:cs="Times New Roman"/>
                <w:b w:val="0"/>
                <w:i w:val="0"/>
                <w:caps w:val="0"/>
                <w:color w:val="000000"/>
                <w:sz w:val="24"/>
              </w:rPr>
              <w:t>50,75</w:t>
            </w:r>
          </w:p>
        </w:tc>
        <w:tc>
          <w:tcPr>
            <w:tcW w:type="dxa" w:w="1300"/>
          </w:tcPr>
          <w:p>
            <w:pPr>
              <w:spacing w:before="0" w:after="40"/>
              <w:jc w:val="right"/>
            </w:pPr>
            <w:r>
              <w:rPr>
                <w:rFonts w:ascii="Times New Roman" w:hAnsi="Times New Roman" w:eastAsia="Times New Roman" w:cs="Times New Roman"/>
                <w:b w:val="0"/>
                <w:i w:val="0"/>
                <w:caps w:val="0"/>
                <w:color w:val="000000"/>
                <w:sz w:val="24"/>
              </w:rPr>
              <w:t>-2,75</w:t>
            </w:r>
          </w:p>
        </w:tc>
        <w:tc>
          <w:tcPr>
            <w:tcW w:type="dxa" w:w="1400"/>
          </w:tcPr>
          <w:p>
            <w:pPr>
              <w:spacing w:before="0" w:after="40"/>
              <w:jc w:val="right"/>
            </w:pPr>
            <w:r>
              <w:rPr>
                <w:rFonts w:ascii="Times New Roman" w:hAnsi="Times New Roman" w:eastAsia="Times New Roman" w:cs="Times New Roman"/>
                <w:b w:val="0"/>
                <w:i w:val="0"/>
                <w:caps w:val="0"/>
                <w:color w:val="000000"/>
                <w:sz w:val="24"/>
              </w:rPr>
              <w:t>56,00</w:t>
            </w:r>
          </w:p>
        </w:tc>
        <w:tc>
          <w:tcPr>
            <w:tcW w:type="dxa" w:w="1500"/>
          </w:tcPr>
          <w:p>
            <w:pPr>
              <w:spacing w:before="0" w:after="40"/>
              <w:jc w:val="right"/>
            </w:pPr>
            <w:r>
              <w:rPr>
                <w:rFonts w:ascii="Times New Roman" w:hAnsi="Times New Roman" w:eastAsia="Times New Roman" w:cs="Times New Roman"/>
                <w:b w:val="0"/>
                <w:i w:val="0"/>
                <w:caps w:val="0"/>
                <w:color w:val="000000"/>
                <w:sz w:val="24"/>
              </w:rPr>
              <w:t>5,25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656,48</w:t>
            </w:r>
          </w:p>
        </w:tc>
        <w:tc>
          <w:tcPr>
            <w:tcW w:type="dxa" w:w="1300"/>
          </w:tcPr>
          <w:p>
            <w:pPr>
              <w:spacing w:before="0" w:after="40"/>
              <w:jc w:val="right"/>
            </w:pPr>
            <w:r>
              <w:rPr>
                <w:rFonts w:ascii="Times New Roman" w:hAnsi="Times New Roman" w:eastAsia="Times New Roman" w:cs="Times New Roman"/>
                <w:b w:val="0"/>
                <w:i w:val="0"/>
                <w:caps w:val="0"/>
                <w:color w:val="000000"/>
                <w:sz w:val="24"/>
              </w:rPr>
              <w:t>658,50</w:t>
            </w:r>
          </w:p>
        </w:tc>
        <w:tc>
          <w:tcPr>
            <w:tcW w:type="dxa" w:w="1300"/>
          </w:tcPr>
          <w:p>
            <w:pPr>
              <w:spacing w:before="0" w:after="40"/>
              <w:jc w:val="right"/>
            </w:pPr>
            <w:r>
              <w:rPr>
                <w:rFonts w:ascii="Times New Roman" w:hAnsi="Times New Roman" w:eastAsia="Times New Roman" w:cs="Times New Roman"/>
                <w:b w:val="0"/>
                <w:i w:val="0"/>
                <w:caps w:val="0"/>
                <w:color w:val="000000"/>
                <w:sz w:val="24"/>
              </w:rPr>
              <w:t>2,02</w:t>
            </w:r>
          </w:p>
        </w:tc>
        <w:tc>
          <w:tcPr>
            <w:tcW w:type="dxa" w:w="1400"/>
          </w:tcPr>
          <w:p>
            <w:pPr>
              <w:spacing w:before="0" w:after="40"/>
              <w:jc w:val="right"/>
            </w:pPr>
            <w:r>
              <w:rPr>
                <w:rFonts w:ascii="Times New Roman" w:hAnsi="Times New Roman" w:eastAsia="Times New Roman" w:cs="Times New Roman"/>
                <w:b w:val="0"/>
                <w:i w:val="0"/>
                <w:caps w:val="0"/>
                <w:color w:val="000000"/>
                <w:sz w:val="24"/>
              </w:rPr>
              <w:t>818,00</w:t>
            </w:r>
          </w:p>
        </w:tc>
        <w:tc>
          <w:tcPr>
            <w:tcW w:type="dxa" w:w="1500"/>
          </w:tcPr>
          <w:p>
            <w:pPr>
              <w:spacing w:before="0" w:after="40"/>
              <w:jc w:val="right"/>
            </w:pPr>
            <w:r>
              <w:rPr>
                <w:rFonts w:ascii="Times New Roman" w:hAnsi="Times New Roman" w:eastAsia="Times New Roman" w:cs="Times New Roman"/>
                <w:b w:val="0"/>
                <w:i w:val="0"/>
                <w:caps w:val="0"/>
                <w:color w:val="000000"/>
                <w:sz w:val="24"/>
              </w:rPr>
              <w:t>159,50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14</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ưu tiên cao 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VD13</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1.4.6, 1.4.8, 1.4.9 chậm do tối ưu hiệu năng (RR06), gói 2.4.9 và 4.5.3 còn phần việc của Vũ Đức Minh, Phạm Tuấn Anh không huy động trong S7, kéo theo diễn tập triển khai 3.5.3 và kiểm thử hệ thống phần sàn 5.4.3 chậm cuối S7, có nguy cơ làm muộn khắc phục lỗi sau kiểm thử hệ thống 4.4.5 trên đường găng</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09/07/2027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VD14</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2.5.2 tài liệu hướng dẫn vận hành, 4.5.6 giám sát vận hành và 5.5.1 cấu hình kết nối sàn trên môi trường vận hành chưa hoàn thành cuối S8, 5.5.1 là điều kiện của mốc M9 và triển khai chính thức 1.5.2</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20/07/2027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HD16</w:t>
            </w:r>
          </w:p>
        </w:tc>
        <w:tc>
          <w:tcPr>
            <w:tcW w:type="dxa" w:w="800"/>
          </w:tcPr>
          <w:p>
            <w:pPr>
              <w:spacing w:before="0" w:after="40"/>
              <w:jc w:val="center"/>
            </w:pPr>
            <w:r>
              <w:rPr>
                <w:rFonts w:ascii="Times New Roman" w:hAnsi="Times New Roman" w:eastAsia="Times New Roman" w:cs="Times New Roman"/>
                <w:b w:val="0"/>
                <w:i w:val="0"/>
                <w:caps w:val="0"/>
                <w:color w:val="000000"/>
                <w:sz w:val="24"/>
              </w:rPr>
              <w:t>VD13</w:t>
            </w:r>
          </w:p>
        </w:tc>
        <w:tc>
          <w:tcPr>
            <w:tcW w:type="dxa" w:w="3500"/>
          </w:tcPr>
          <w:p>
            <w:pPr>
              <w:spacing w:before="0" w:after="40"/>
              <w:jc w:val="left"/>
            </w:pPr>
            <w:r>
              <w:rPr>
                <w:rFonts w:ascii="Times New Roman" w:hAnsi="Times New Roman" w:eastAsia="Times New Roman" w:cs="Times New Roman"/>
                <w:b w:val="0"/>
                <w:i w:val="0"/>
                <w:caps w:val="0"/>
                <w:color w:val="000000"/>
                <w:sz w:val="24"/>
              </w:rPr>
              <w:t>Huy động bổ sung theo nhu cầu trong S8 cho kiểm thử viên và kỹ sư phát triển còn việc chậm, ưu tiên các gói trước khắc phục lỗi sau kiểm thử hệ thống 4.4.5</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02/07/2027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HD17</w:t>
            </w:r>
          </w:p>
        </w:tc>
        <w:tc>
          <w:tcPr>
            <w:tcW w:type="dxa" w:w="800"/>
          </w:tcPr>
          <w:p>
            <w:pPr>
              <w:spacing w:before="0" w:after="40"/>
              <w:jc w:val="center"/>
            </w:pPr>
            <w:r>
              <w:rPr>
                <w:rFonts w:ascii="Times New Roman" w:hAnsi="Times New Roman" w:eastAsia="Times New Roman" w:cs="Times New Roman"/>
                <w:b w:val="0"/>
                <w:i w:val="0"/>
                <w:caps w:val="0"/>
                <w:color w:val="000000"/>
                <w:sz w:val="24"/>
              </w:rPr>
              <w:t>VD14</w:t>
            </w:r>
          </w:p>
        </w:tc>
        <w:tc>
          <w:tcPr>
            <w:tcW w:type="dxa" w:w="3500"/>
          </w:tcPr>
          <w:p>
            <w:pPr>
              <w:spacing w:before="0" w:after="40"/>
              <w:jc w:val="left"/>
            </w:pPr>
            <w:r>
              <w:rPr>
                <w:rFonts w:ascii="Times New Roman" w:hAnsi="Times New Roman" w:eastAsia="Times New Roman" w:cs="Times New Roman"/>
                <w:b w:val="0"/>
                <w:i w:val="0"/>
                <w:caps w:val="0"/>
                <w:color w:val="000000"/>
                <w:sz w:val="24"/>
              </w:rPr>
              <w:t>Trương Quốc Việt hoàn thành 5.5.1 và 4.5.6 đầu S9, Bùi Anh Tuấn hoàn thành 2.5.2</w:t>
            </w:r>
          </w:p>
        </w:tc>
        <w:tc>
          <w:tcPr>
            <w:tcW w:type="dxa" w:w="17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19/07/2027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2.5.2 Tài liệu hướng dẫn vận hành và quản trị kỹ thuật hệ thống: hoàn thành 87%,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VD14</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4.5.6 Giám sát vận hành và chuẩn bị hỗ trợ tăng cường sau cut over: hoàn thành 75%,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VD14</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5.5.1 Cấu hình kết nối sàn trên môi trường vận hành: hoàn thành 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VD14</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14 vấn đề, đã đóng 13, còn mở 1.</w:t>
      </w:r>
    </w:p>
    <w:p>
      <w:pPr>
        <w:spacing w:before="0" w:after="100" w:line="300" w:lineRule="auto"/>
        <w:jc w:val="both"/>
      </w:pPr>
      <w:r>
        <w:rPr>
          <w:rFonts w:ascii="Times New Roman" w:hAnsi="Times New Roman" w:eastAsia="Times New Roman" w:cs="Times New Roman"/>
          <w:b w:val="0"/>
          <w:i w:val="0"/>
          <w:caps w:val="0"/>
          <w:color w:val="000000"/>
          <w:sz w:val="26"/>
        </w:rPr>
        <w:t>Vấn đề VD13 đóng khi các gói chậm của kỳ trước hoàn thành bằng huy động bổ sung. Vấn đề VD14 ghi nhận các gói 2.5.2, 4.5.6 và 5.5.1 chưa hoàn thành, trong đó 5.5.1 là điều kiện của mốc M9 và triển khai chính thức, hành động có hạn 19/07/2027. Rủi ro RR10 về lỗi phát hiện trong kiểm thử chấp nhận được theo dõi hằng ngày trong kỳ tới.</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0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phê duyệt</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S9 theo master schedule hiện hành: Kiểm thử chấp nhận và kiểm thử vận hành cùng Chủ đầu tư (M5), kiểm thử chấp nhận phần bán hàng trên sàn cùng Chủ đầu tư và nghiệm thu phần sàn (M9), khắc phục lỗi trong khoảng kiểm thử chấp nhận, kiểm thử hiệu năng và an toàn trên môi trường vận hành, chuyển đổi dữ liệu chính thức, cut over 29/07/2027 (M6), bàn giao mã nguồn và hệ thống (M7). Kế hoạch kỳ tới là 74,52 MD trên quỹ 88,00 MD.</w:t>
      </w:r>
    </w:p>
    <w:p>
      <w:pPr>
        <w:spacing w:before="0" w:after="100" w:line="300" w:lineRule="auto"/>
        <w:jc w:val="both"/>
      </w:pPr>
      <w:r>
        <w:rPr>
          <w:rFonts w:ascii="Times New Roman" w:hAnsi="Times New Roman" w:eastAsia="Times New Roman" w:cs="Times New Roman"/>
          <w:b w:val="0"/>
          <w:i w:val="0"/>
          <w:caps w:val="0"/>
          <w:color w:val="000000"/>
          <w:sz w:val="26"/>
        </w:rPr>
        <w:t>Gói ưu tiên là kiểm thử chấp nhận các phân hệ 1.4.11, 2.4.12, 3.4.13 và phần sàn 5.4.5 cùng Chủ đầu tư, khắc phục lỗi trong khoảng kiểm thử chấp nhận, triển khai chính thức 1.5.2 và bàn giao 1.5.3. Mốc M9 có hạn 27/07/2027 gắn đợt thanh toán của phụ lục, mốc M5 có hạn 28/07/2027, cut over 29/07/2027. Nhóm đề nghị Chủ đầu tư bố trí người tham gia kiểm thử chấp nhận từ ngày đầu kỳ.</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2026-10-25T17:59:10Z</dcterms:created>
  <dcterms:modified xsi:type="dcterms:W3CDTF">2026-10-25T17:59:10Z</dcterms:modified>
  <cp:category/>
</cp:coreProperties>
</file>