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KT, ngày báo cáo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103/103 ngày làm việc (100,0%)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733,00/733,00 MD (100,0%)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736,75/908,00 MD (81,1%)</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KT ngày 12/08/2027, dự án ở trạng thái chung Xanh. SPI đạt 1,00 ở mức Xanh, CPI theo công đạt 0,99 ở mức Xanh, CPI theo chi phí thực đạt 0,99 ở mức Xanh. Giá trị thu được lũy kế 733,00 MD so với kế hoạch 733,00 MD, công thực tế 736,75 MD, khối lượng hoàn thành đạt 100,0% toàn dự án. Toàn bộ khối lượng của WBS đã hoàn thành, công thực tế vượt kế hoạch nhẹ do sửa lỗi và tối ưu hiệu năng trong các sprint kiểm thử.</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0,00. Tỷ lệ sử dụng quỹ huy động đạt 81,1%, còn 171,25 MD sẵn sàng không ghi công trên 908,00 MD huy động. Chi phí khác đã chi lũy kế 60.000.000 đồng, EAC theo chi phí thực 1.486,37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736,75</w:t>
            </w:r>
          </w:p>
        </w:tc>
        <w:tc>
          <w:tcPr>
            <w:tcW w:type="dxa" w:w="3200"/>
          </w:tcPr>
          <w:p>
            <w:pPr>
              <w:spacing w:before="0" w:after="40"/>
              <w:jc w:val="right"/>
            </w:pPr>
            <w:r>
              <w:rPr>
                <w:rFonts w:ascii="Times New Roman" w:hAnsi="Times New Roman" w:eastAsia="Times New Roman" w:cs="Times New Roman"/>
                <w:b w:val="0"/>
                <w:i w:val="0"/>
                <w:caps w:val="0"/>
                <w:color w:val="000000"/>
                <w:sz w:val="24"/>
              </w:rPr>
              <w:t>1.589.487.500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-3,75</w:t>
            </w:r>
          </w:p>
        </w:tc>
        <w:tc>
          <w:tcPr>
            <w:tcW w:type="dxa" w:w="3200"/>
          </w:tcPr>
          <w:p>
            <w:pPr>
              <w:spacing w:before="0" w:after="40"/>
              <w:jc w:val="right"/>
            </w:pPr>
            <w:r>
              <w:rPr>
                <w:rFonts w:ascii="Times New Roman" w:hAnsi="Times New Roman" w:eastAsia="Times New Roman" w:cs="Times New Roman"/>
                <w:b w:val="0"/>
                <w:i w:val="0"/>
                <w:caps w:val="0"/>
                <w:color w:val="000000"/>
                <w:sz w:val="24"/>
              </w:rPr>
              <w:t>âm 7.937.500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736,75</w:t>
            </w:r>
          </w:p>
        </w:tc>
        <w:tc>
          <w:tcPr>
            <w:tcW w:type="dxa" w:w="3200"/>
          </w:tcPr>
          <w:p>
            <w:pPr>
              <w:spacing w:before="0" w:after="40"/>
              <w:jc w:val="right"/>
            </w:pPr>
            <w:r>
              <w:rPr>
                <w:rFonts w:ascii="Times New Roman" w:hAnsi="Times New Roman" w:eastAsia="Times New Roman" w:cs="Times New Roman"/>
                <w:b w:val="0"/>
                <w:i w:val="0"/>
                <w:caps w:val="0"/>
                <w:color w:val="000000"/>
                <w:sz w:val="24"/>
              </w:rPr>
              <w:t>1.589.487.500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-3,75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0,00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1.336.368.239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0,99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60.000.000,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1.396.368.239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1.486.368.239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8.528.798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462.656.443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736,75, 171,25 (81,1%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908,00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S9</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734,75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KT</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736,75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trong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p>
      <w:pPr>
        <w:spacing w:before="0" w:after="100" w:line="300" w:lineRule="auto"/>
        <w:jc w:val="both"/>
      </w:pPr>
      <w:r>
        <w:rPr>
          <w:rFonts w:ascii="Times New Roman" w:hAnsi="Times New Roman" w:eastAsia="Times New Roman" w:cs="Times New Roman"/>
          <w:b w:val="0"/>
          <w:i w:val="0"/>
          <w:caps w:val="0"/>
          <w:color w:val="000000"/>
          <w:sz w:val="26"/>
        </w:rPr>
        <w:t>Không có gói chậm hơn kế hoạch quá 10%.</w:t>
      </w:r>
    </w:p>
    <w:p>
      <w:pPr>
        <w:spacing w:before="0" w:after="100" w:line="300" w:lineRule="auto"/>
        <w:jc w:val="both"/>
      </w:pPr>
      <w:r>
        <w:rPr>
          <w:rFonts w:ascii="Times New Roman" w:hAnsi="Times New Roman" w:eastAsia="Times New Roman" w:cs="Times New Roman"/>
          <w:b w:val="0"/>
          <w:i w:val="0"/>
          <w:caps w:val="0"/>
          <w:color w:val="000000"/>
          <w:sz w:val="26"/>
        </w:rPr>
        <w:t>Trong giai đoạn Kết thúc hoàn thành báo cáo tổng kết, bài học kinh nghiệm và bàn giao hồ sơ 1.1.5, mốc M8 đạt ngày 04/08/2027, đúng hạn. Nghĩa vụ bảo hành đã cam kết theo khoản B2 của dự toán được ghi nhận để theo dõi trong thời gian bảo hành.</w:t>
      </w:r>
    </w:p>
    <w:p>
      <w:pPr>
        <w:spacing w:before="0" w:after="100" w:line="300" w:lineRule="auto"/>
        <w:jc w:val="both"/>
      </w:pPr>
      <w:r>
        <w:rPr>
          <w:rFonts w:ascii="Times New Roman" w:hAnsi="Times New Roman" w:eastAsia="Times New Roman" w:cs="Times New Roman"/>
          <w:b w:val="0"/>
          <w:i w:val="0"/>
          <w:caps w:val="0"/>
          <w:color w:val="000000"/>
          <w:sz w:val="26"/>
        </w:rPr>
        <w:t>Các mốc hợp đồng từ M0 đến M8 và mốc M9 của phụ lục hợp đồng đều đã đạt. Các rủi ro còn theo dõi được rà soát và đóng khi kết thúc dự 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66,33</w:t>
            </w:r>
          </w:p>
        </w:tc>
        <w:tc>
          <w:tcPr>
            <w:tcW w:type="dxa" w:w="1300"/>
          </w:tcPr>
          <w:p>
            <w:pPr>
              <w:spacing w:before="0" w:after="40"/>
              <w:jc w:val="right"/>
            </w:pPr>
            <w:r>
              <w:rPr>
                <w:rFonts w:ascii="Times New Roman" w:hAnsi="Times New Roman" w:eastAsia="Times New Roman" w:cs="Times New Roman"/>
                <w:b w:val="0"/>
                <w:i w:val="0"/>
                <w:caps w:val="0"/>
                <w:color w:val="000000"/>
                <w:sz w:val="24"/>
              </w:rPr>
              <w:t>67,25</w:t>
            </w:r>
          </w:p>
        </w:tc>
        <w:tc>
          <w:tcPr>
            <w:tcW w:type="dxa" w:w="1300"/>
          </w:tcPr>
          <w:p>
            <w:pPr>
              <w:spacing w:before="0" w:after="40"/>
              <w:jc w:val="right"/>
            </w:pPr>
            <w:r>
              <w:rPr>
                <w:rFonts w:ascii="Times New Roman" w:hAnsi="Times New Roman" w:eastAsia="Times New Roman" w:cs="Times New Roman"/>
                <w:b w:val="0"/>
                <w:i w:val="0"/>
                <w:caps w:val="0"/>
                <w:color w:val="000000"/>
                <w:sz w:val="24"/>
              </w:rPr>
              <w:t>0,92</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50,25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69,00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58,00</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71,00</w:t>
            </w:r>
          </w:p>
        </w:tc>
        <w:tc>
          <w:tcPr>
            <w:tcW w:type="dxa" w:w="1500"/>
          </w:tcPr>
          <w:p>
            <w:pPr>
              <w:spacing w:before="0" w:after="40"/>
              <w:jc w:val="right"/>
            </w:pPr>
            <w:r>
              <w:rPr>
                <w:rFonts w:ascii="Times New Roman" w:hAnsi="Times New Roman" w:eastAsia="Times New Roman" w:cs="Times New Roman"/>
                <w:b w:val="0"/>
                <w:i w:val="0"/>
                <w:caps w:val="0"/>
                <w:color w:val="000000"/>
                <w:sz w:val="24"/>
              </w:rPr>
              <w:t>13,50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66,50</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76,00</w:t>
            </w:r>
          </w:p>
        </w:tc>
        <w:tc>
          <w:tcPr>
            <w:tcW w:type="dxa" w:w="1500"/>
          </w:tcPr>
          <w:p>
            <w:pPr>
              <w:spacing w:before="0" w:after="40"/>
              <w:jc w:val="right"/>
            </w:pPr>
            <w:r>
              <w:rPr>
                <w:rFonts w:ascii="Times New Roman" w:hAnsi="Times New Roman" w:eastAsia="Times New Roman" w:cs="Times New Roman"/>
                <w:b w:val="0"/>
                <w:i w:val="0"/>
                <w:caps w:val="0"/>
                <w:color w:val="000000"/>
                <w:sz w:val="24"/>
              </w:rPr>
              <w:t>8,50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72,50</w:t>
            </w:r>
          </w:p>
        </w:tc>
        <w:tc>
          <w:tcPr>
            <w:tcW w:type="dxa" w:w="1300"/>
          </w:tcPr>
          <w:p>
            <w:pPr>
              <w:spacing w:before="0" w:after="40"/>
              <w:jc w:val="right"/>
            </w:pPr>
            <w:r>
              <w:rPr>
                <w:rFonts w:ascii="Times New Roman" w:hAnsi="Times New Roman" w:eastAsia="Times New Roman" w:cs="Times New Roman"/>
                <w:b w:val="0"/>
                <w:i w:val="0"/>
                <w:caps w:val="0"/>
                <w:color w:val="000000"/>
                <w:sz w:val="24"/>
              </w:rPr>
              <w:t>73,25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83,00</w:t>
            </w:r>
          </w:p>
        </w:tc>
        <w:tc>
          <w:tcPr>
            <w:tcW w:type="dxa" w:w="1500"/>
          </w:tcPr>
          <w:p>
            <w:pPr>
              <w:spacing w:before="0" w:after="40"/>
              <w:jc w:val="right"/>
            </w:pPr>
            <w:r>
              <w:rPr>
                <w:rFonts w:ascii="Times New Roman" w:hAnsi="Times New Roman" w:eastAsia="Times New Roman" w:cs="Times New Roman"/>
                <w:b w:val="0"/>
                <w:i w:val="0"/>
                <w:caps w:val="0"/>
                <w:color w:val="000000"/>
                <w:sz w:val="24"/>
              </w:rPr>
              <w:t>9,75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70,67</w:t>
            </w:r>
          </w:p>
        </w:tc>
        <w:tc>
          <w:tcPr>
            <w:tcW w:type="dxa" w:w="1300"/>
          </w:tcPr>
          <w:p>
            <w:pPr>
              <w:spacing w:before="0" w:after="40"/>
              <w:jc w:val="right"/>
            </w:pPr>
            <w:r>
              <w:rPr>
                <w:rFonts w:ascii="Times New Roman" w:hAnsi="Times New Roman" w:eastAsia="Times New Roman" w:cs="Times New Roman"/>
                <w:b w:val="0"/>
                <w:i w:val="0"/>
                <w:caps w:val="0"/>
                <w:color w:val="000000"/>
                <w:sz w:val="24"/>
              </w:rPr>
              <w:t>71,75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80,00</w:t>
            </w:r>
          </w:p>
        </w:tc>
        <w:tc>
          <w:tcPr>
            <w:tcW w:type="dxa" w:w="1500"/>
          </w:tcPr>
          <w:p>
            <w:pPr>
              <w:spacing w:before="0" w:after="40"/>
              <w:jc w:val="right"/>
            </w:pPr>
            <w:r>
              <w:rPr>
                <w:rFonts w:ascii="Times New Roman" w:hAnsi="Times New Roman" w:eastAsia="Times New Roman" w:cs="Times New Roman"/>
                <w:b w:val="0"/>
                <w:i w:val="0"/>
                <w:caps w:val="0"/>
                <w:color w:val="000000"/>
                <w:sz w:val="24"/>
              </w:rPr>
              <w:t>8,25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67,00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85,00</w:t>
            </w:r>
          </w:p>
        </w:tc>
        <w:tc>
          <w:tcPr>
            <w:tcW w:type="dxa" w:w="1500"/>
          </w:tcPr>
          <w:p>
            <w:pPr>
              <w:spacing w:before="0" w:after="40"/>
              <w:jc w:val="right"/>
            </w:pPr>
            <w:r>
              <w:rPr>
                <w:rFonts w:ascii="Times New Roman" w:hAnsi="Times New Roman" w:eastAsia="Times New Roman" w:cs="Times New Roman"/>
                <w:b w:val="0"/>
                <w:i w:val="0"/>
                <w:caps w:val="0"/>
                <w:color w:val="000000"/>
                <w:sz w:val="24"/>
              </w:rPr>
              <w:t>18,00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64,00</w:t>
            </w:r>
          </w:p>
        </w:tc>
        <w:tc>
          <w:tcPr>
            <w:tcW w:type="dxa" w:w="1300"/>
          </w:tcPr>
          <w:p>
            <w:pPr>
              <w:spacing w:before="0" w:after="40"/>
              <w:jc w:val="right"/>
            </w:pPr>
            <w:r>
              <w:rPr>
                <w:rFonts w:ascii="Times New Roman" w:hAnsi="Times New Roman" w:eastAsia="Times New Roman" w:cs="Times New Roman"/>
                <w:b w:val="0"/>
                <w:i w:val="0"/>
                <w:caps w:val="0"/>
                <w:color w:val="000000"/>
                <w:sz w:val="24"/>
              </w:rPr>
              <w:t>64,25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77,00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59,50</w:t>
            </w:r>
          </w:p>
        </w:tc>
        <w:tc>
          <w:tcPr>
            <w:tcW w:type="dxa" w:w="1300"/>
          </w:tcPr>
          <w:p>
            <w:pPr>
              <w:spacing w:before="0" w:after="40"/>
              <w:jc w:val="right"/>
            </w:pPr>
            <w:r>
              <w:rPr>
                <w:rFonts w:ascii="Times New Roman" w:hAnsi="Times New Roman" w:eastAsia="Times New Roman" w:cs="Times New Roman"/>
                <w:b w:val="0"/>
                <w:i w:val="0"/>
                <w:caps w:val="0"/>
                <w:color w:val="000000"/>
                <w:sz w:val="24"/>
              </w:rPr>
              <w:t>60,25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86,00</w:t>
            </w:r>
          </w:p>
        </w:tc>
        <w:tc>
          <w:tcPr>
            <w:tcW w:type="dxa" w:w="1500"/>
          </w:tcPr>
          <w:p>
            <w:pPr>
              <w:spacing w:before="0" w:after="40"/>
              <w:jc w:val="right"/>
            </w:pPr>
            <w:r>
              <w:rPr>
                <w:rFonts w:ascii="Times New Roman" w:hAnsi="Times New Roman" w:eastAsia="Times New Roman" w:cs="Times New Roman"/>
                <w:b w:val="0"/>
                <w:i w:val="0"/>
                <w:caps w:val="0"/>
                <w:color w:val="000000"/>
                <w:sz w:val="24"/>
              </w:rPr>
              <w:t>25,75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49,50</w:t>
            </w:r>
          </w:p>
        </w:tc>
        <w:tc>
          <w:tcPr>
            <w:tcW w:type="dxa" w:w="1300"/>
          </w:tcPr>
          <w:p>
            <w:pPr>
              <w:spacing w:before="0" w:after="40"/>
              <w:jc w:val="right"/>
            </w:pPr>
            <w:r>
              <w:rPr>
                <w:rFonts w:ascii="Times New Roman" w:hAnsi="Times New Roman" w:eastAsia="Times New Roman" w:cs="Times New Roman"/>
                <w:b w:val="0"/>
                <w:i w:val="0"/>
                <w:caps w:val="0"/>
                <w:color w:val="000000"/>
                <w:sz w:val="24"/>
              </w:rPr>
              <w:t>49,75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70,00</w:t>
            </w:r>
          </w:p>
        </w:tc>
        <w:tc>
          <w:tcPr>
            <w:tcW w:type="dxa" w:w="1500"/>
          </w:tcPr>
          <w:p>
            <w:pPr>
              <w:spacing w:before="0" w:after="40"/>
              <w:jc w:val="right"/>
            </w:pPr>
            <w:r>
              <w:rPr>
                <w:rFonts w:ascii="Times New Roman" w:hAnsi="Times New Roman" w:eastAsia="Times New Roman" w:cs="Times New Roman"/>
                <w:b w:val="0"/>
                <w:i w:val="0"/>
                <w:caps w:val="0"/>
                <w:color w:val="000000"/>
                <w:sz w:val="24"/>
              </w:rPr>
              <w:t>20,25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49,25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13,75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58,75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62,00</w:t>
            </w:r>
          </w:p>
        </w:tc>
        <w:tc>
          <w:tcPr>
            <w:tcW w:type="dxa" w:w="1500"/>
          </w:tcPr>
          <w:p>
            <w:pPr>
              <w:spacing w:before="0" w:after="40"/>
              <w:jc w:val="right"/>
            </w:pPr>
            <w:r>
              <w:rPr>
                <w:rFonts w:ascii="Times New Roman" w:hAnsi="Times New Roman" w:eastAsia="Times New Roman" w:cs="Times New Roman"/>
                <w:b w:val="0"/>
                <w:i w:val="0"/>
                <w:caps w:val="0"/>
                <w:color w:val="000000"/>
                <w:sz w:val="24"/>
              </w:rPr>
              <w:t>3,25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733,00</w:t>
            </w:r>
          </w:p>
        </w:tc>
        <w:tc>
          <w:tcPr>
            <w:tcW w:type="dxa" w:w="1300"/>
          </w:tcPr>
          <w:p>
            <w:pPr>
              <w:spacing w:before="0" w:after="40"/>
              <w:jc w:val="right"/>
            </w:pPr>
            <w:r>
              <w:rPr>
                <w:rFonts w:ascii="Times New Roman" w:hAnsi="Times New Roman" w:eastAsia="Times New Roman" w:cs="Times New Roman"/>
                <w:b w:val="0"/>
                <w:i w:val="0"/>
                <w:caps w:val="0"/>
                <w:color w:val="000000"/>
                <w:sz w:val="24"/>
              </w:rPr>
              <w:t>736,75</w:t>
            </w:r>
          </w:p>
        </w:tc>
        <w:tc>
          <w:tcPr>
            <w:tcW w:type="dxa" w:w="1300"/>
          </w:tcPr>
          <w:p>
            <w:pPr>
              <w:spacing w:before="0" w:after="40"/>
              <w:jc w:val="right"/>
            </w:pPr>
            <w:r>
              <w:rPr>
                <w:rFonts w:ascii="Times New Roman" w:hAnsi="Times New Roman" w:eastAsia="Times New Roman" w:cs="Times New Roman"/>
                <w:b w:val="0"/>
                <w:i w:val="0"/>
                <w:caps w:val="0"/>
                <w:color w:val="000000"/>
                <w:sz w:val="24"/>
              </w:rPr>
              <w:t>3,75</w:t>
            </w:r>
          </w:p>
        </w:tc>
        <w:tc>
          <w:tcPr>
            <w:tcW w:type="dxa" w:w="1400"/>
          </w:tcPr>
          <w:p>
            <w:pPr>
              <w:spacing w:before="0" w:after="40"/>
              <w:jc w:val="right"/>
            </w:pPr>
            <w:r>
              <w:rPr>
                <w:rFonts w:ascii="Times New Roman" w:hAnsi="Times New Roman" w:eastAsia="Times New Roman" w:cs="Times New Roman"/>
                <w:b w:val="0"/>
                <w:i w:val="0"/>
                <w:caps w:val="0"/>
                <w:color w:val="000000"/>
                <w:sz w:val="24"/>
              </w:rPr>
              <w:t>908,00</w:t>
            </w:r>
          </w:p>
        </w:tc>
        <w:tc>
          <w:tcPr>
            <w:tcW w:type="dxa" w:w="1500"/>
          </w:tcPr>
          <w:p>
            <w:pPr>
              <w:spacing w:before="0" w:after="40"/>
              <w:jc w:val="right"/>
            </w:pPr>
            <w:r>
              <w:rPr>
                <w:rFonts w:ascii="Times New Roman" w:hAnsi="Times New Roman" w:eastAsia="Times New Roman" w:cs="Times New Roman"/>
                <w:b w:val="0"/>
                <w:i w:val="0"/>
                <w:caps w:val="0"/>
                <w:color w:val="000000"/>
                <w:sz w:val="24"/>
              </w:rPr>
              <w:t>171,25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ưu tiên cao 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0, trong đó quá hạn 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vấn đề mở trong sổ vấn đề.</w:t>
      </w:r>
    </w:p>
    <w:p>
      <w:pPr>
        <w:spacing w:before="0" w:after="100" w:line="300" w:lineRule="auto"/>
        <w:jc w:val="both"/>
      </w:pPr>
      <w:r>
        <w:rPr>
          <w:rFonts w:ascii="Times New Roman" w:hAnsi="Times New Roman" w:eastAsia="Times New Roman" w:cs="Times New Roman"/>
          <w:b w:val="0"/>
          <w:i w:val="0"/>
          <w:caps w:val="0"/>
          <w:color w:val="000000"/>
          <w:sz w:val="26"/>
        </w:rPr>
        <w:t>Không có hành động đang theo dõi.</w:t>
      </w:r>
    </w:p>
    <w:p>
      <w:pPr>
        <w:spacing w:before="0" w:after="100" w:line="300" w:lineRule="auto"/>
        <w:jc w:val="both"/>
      </w:pPr>
      <w:r>
        <w:rPr>
          <w:rFonts w:ascii="Times New Roman" w:hAnsi="Times New Roman" w:eastAsia="Times New Roman" w:cs="Times New Roman"/>
          <w:b w:val="0"/>
          <w:i w:val="0"/>
          <w:caps w:val="0"/>
          <w:color w:val="000000"/>
          <w:sz w:val="26"/>
        </w:rPr>
        <w:t>Không có gói chậm, chỉ số dưới ngưỡng, rủi ro đã xảy ra hay mốc quá hạn trong kỳ.</w:t>
      </w:r>
    </w:p>
    <w:p>
      <w:pPr>
        <w:spacing w:before="0" w:after="100" w:line="300" w:lineRule="auto"/>
        <w:jc w:val="both"/>
      </w:pPr>
      <w:r>
        <w:rPr>
          <w:rFonts w:ascii="Times New Roman" w:hAnsi="Times New Roman" w:eastAsia="Times New Roman" w:cs="Times New Roman"/>
          <w:b w:val="0"/>
          <w:i w:val="0"/>
          <w:caps w:val="0"/>
          <w:color w:val="000000"/>
          <w:sz w:val="26"/>
        </w:rPr>
        <w:t>Sổ vấn đề có 14 vấn đề, đã đóng 14, còn mở 0.</w:t>
      </w:r>
    </w:p>
    <w:p>
      <w:pPr>
        <w:spacing w:before="0" w:after="100" w:line="300" w:lineRule="auto"/>
        <w:jc w:val="both"/>
      </w:pPr>
      <w:r>
        <w:rPr>
          <w:rFonts w:ascii="Times New Roman" w:hAnsi="Times New Roman" w:eastAsia="Times New Roman" w:cs="Times New Roman"/>
          <w:b w:val="0"/>
          <w:i w:val="0"/>
          <w:caps w:val="0"/>
          <w:color w:val="000000"/>
          <w:sz w:val="26"/>
        </w:rPr>
        <w:t>Sổ không còn vấn đề mở, không có hành động quá hạn khi đóng dự án.</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0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Lê Quang Huy</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0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0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0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0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0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0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0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0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0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0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0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Sau ngày đóng dự án 12/08/2027, nhà thầu thực hiện bảo hành theo hợp đồng, theo dõi thu các đợt thanh toán còn lại và lưu trữ hồ sơ dự án.</w:t>
      </w:r>
    </w:p>
    <w:p>
      <w:pPr>
        <w:spacing w:before="0" w:after="100" w:line="300" w:lineRule="auto"/>
        <w:jc w:val="both"/>
      </w:pPr>
      <w:r>
        <w:rPr>
          <w:rFonts w:ascii="Times New Roman" w:hAnsi="Times New Roman" w:eastAsia="Times New Roman" w:cs="Times New Roman"/>
          <w:b w:val="0"/>
          <w:i w:val="0"/>
          <w:caps w:val="0"/>
          <w:color w:val="000000"/>
          <w:sz w:val="26"/>
        </w:rPr>
        <w:t>Nhóm đề nghị Chủ đầu tư xác nhận biên bản kết thúc dự án và đầu mối tiếp nhận yêu cầu bảo hành.</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2026-10-25T18:03:00Z</dcterms:created>
  <dcterms:modified xsi:type="dcterms:W3CDTF">2026-10-25T18:03:00Z</dcterms:modified>
  <cp:category/>
</cp:coreProperties>
</file>