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1A98D8" w14:textId="1A02AAA4" w:rsidR="009B2075" w:rsidRDefault="006F632F" w:rsidP="009B2075">
      <w:pPr>
        <w:rPr>
          <w:rFonts w:asciiTheme="majorHAnsi" w:hAnsiTheme="majorHAnsi"/>
          <w:b/>
          <w:color w:val="auto"/>
          <w:sz w:val="28"/>
          <w:szCs w:val="28"/>
        </w:rPr>
      </w:pPr>
      <w:r>
        <w:rPr>
          <w:rFonts w:asciiTheme="majorHAnsi" w:hAnsiTheme="majorHAnsi"/>
          <w:b/>
          <w:color w:val="auto"/>
          <w:sz w:val="28"/>
          <w:szCs w:val="28"/>
        </w:rPr>
        <w:t>Accounting</w:t>
      </w:r>
    </w:p>
    <w:p w14:paraId="4A6672C8" w14:textId="741C5C28" w:rsidR="00B93976" w:rsidRDefault="009B2075" w:rsidP="009B2075">
      <w:pPr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Below are th</w:t>
      </w:r>
      <w:r w:rsidR="009A0034">
        <w:rPr>
          <w:rFonts w:asciiTheme="minorHAnsi" w:hAnsiTheme="minorHAnsi"/>
          <w:color w:val="auto"/>
        </w:rPr>
        <w:t xml:space="preserve">e endpoint definitions for the </w:t>
      </w:r>
      <w:r w:rsidR="006F632F">
        <w:rPr>
          <w:rFonts w:asciiTheme="minorHAnsi" w:hAnsiTheme="minorHAnsi"/>
          <w:color w:val="auto"/>
        </w:rPr>
        <w:t>accounting</w:t>
      </w:r>
      <w:r>
        <w:rPr>
          <w:rFonts w:asciiTheme="minorHAnsi" w:hAnsiTheme="minorHAnsi"/>
          <w:color w:val="auto"/>
        </w:rPr>
        <w:t xml:space="preserve"> web service.</w:t>
      </w:r>
    </w:p>
    <w:p w14:paraId="574E341A" w14:textId="77777777" w:rsidR="000B78C4" w:rsidRDefault="000B78C4" w:rsidP="009B2075">
      <w:pPr>
        <w:rPr>
          <w:rFonts w:asciiTheme="minorHAnsi" w:hAnsiTheme="minorHAnsi"/>
          <w:color w:val="auto"/>
        </w:rPr>
      </w:pPr>
    </w:p>
    <w:p w14:paraId="6E31B44A" w14:textId="567D902F" w:rsidR="009B2075" w:rsidRDefault="009F5154" w:rsidP="009B2075">
      <w:pPr>
        <w:rPr>
          <w:rFonts w:asciiTheme="majorHAnsi" w:hAnsiTheme="majorHAnsi"/>
          <w:b/>
          <w:color w:val="auto"/>
          <w:sz w:val="24"/>
          <w:szCs w:val="24"/>
        </w:rPr>
      </w:pPr>
      <w:r>
        <w:rPr>
          <w:rFonts w:asciiTheme="majorHAnsi" w:hAnsiTheme="majorHAnsi"/>
          <w:b/>
          <w:color w:val="auto"/>
          <w:sz w:val="24"/>
          <w:szCs w:val="24"/>
        </w:rPr>
        <w:t>Accounting Info Layout</w:t>
      </w:r>
    </w:p>
    <w:tbl>
      <w:tblPr>
        <w:tblStyle w:val="PlainTable4"/>
        <w:tblW w:w="0" w:type="auto"/>
        <w:tblInd w:w="0" w:type="dxa"/>
        <w:tblLook w:val="04A0" w:firstRow="1" w:lastRow="0" w:firstColumn="1" w:lastColumn="0" w:noHBand="0" w:noVBand="1"/>
      </w:tblPr>
      <w:tblGrid>
        <w:gridCol w:w="1998"/>
        <w:gridCol w:w="9018"/>
      </w:tblGrid>
      <w:tr w:rsidR="009B2075" w14:paraId="328F71ED" w14:textId="77777777" w:rsidTr="009B20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03DE7BD7" w14:textId="77777777"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Endpoint</w:t>
            </w:r>
          </w:p>
        </w:tc>
        <w:tc>
          <w:tcPr>
            <w:tcW w:w="9018" w:type="dxa"/>
            <w:hideMark/>
          </w:tcPr>
          <w:p w14:paraId="09418B73" w14:textId="743F42E8" w:rsidR="009B2075" w:rsidRDefault="00A054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/</w:t>
            </w:r>
            <w:r w:rsidR="00B52180">
              <w:rPr>
                <w:rFonts w:asciiTheme="minorHAnsi" w:hAnsiTheme="minorHAnsi"/>
                <w:b w:val="0"/>
                <w:color w:val="auto"/>
              </w:rPr>
              <w:t>layout</w:t>
            </w:r>
          </w:p>
        </w:tc>
      </w:tr>
      <w:tr w:rsidR="009B2075" w14:paraId="6E4B84CD" w14:textId="77777777" w:rsidTr="009B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44125EF3" w14:textId="77777777"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Headers</w:t>
            </w:r>
          </w:p>
        </w:tc>
        <w:tc>
          <w:tcPr>
            <w:tcW w:w="9018" w:type="dxa"/>
            <w:hideMark/>
          </w:tcPr>
          <w:p w14:paraId="0FD15F8E" w14:textId="3EABA75A" w:rsidR="009B2075" w:rsidRDefault="00B52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9B2075" w14:paraId="48276429" w14:textId="77777777" w:rsidTr="009B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6232B1D8" w14:textId="77777777"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Type</w:t>
            </w:r>
          </w:p>
        </w:tc>
        <w:tc>
          <w:tcPr>
            <w:tcW w:w="9018" w:type="dxa"/>
            <w:hideMark/>
          </w:tcPr>
          <w:p w14:paraId="4DDD9198" w14:textId="58BC9BA9" w:rsidR="009B2075" w:rsidRDefault="00B521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GET</w:t>
            </w:r>
          </w:p>
        </w:tc>
      </w:tr>
      <w:tr w:rsidR="009B2075" w14:paraId="4B3AE5B5" w14:textId="77777777" w:rsidTr="009B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2A3A60F9" w14:textId="77777777"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Query Parameters</w:t>
            </w:r>
          </w:p>
        </w:tc>
        <w:tc>
          <w:tcPr>
            <w:tcW w:w="9018" w:type="dxa"/>
            <w:hideMark/>
          </w:tcPr>
          <w:p w14:paraId="1CA6EF66" w14:textId="77777777" w:rsidR="009B2075" w:rsidRDefault="00A05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9B2075" w14:paraId="7DCA4546" w14:textId="77777777" w:rsidTr="009B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2D8B3FCD" w14:textId="77777777"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Path Parameters</w:t>
            </w:r>
          </w:p>
        </w:tc>
        <w:tc>
          <w:tcPr>
            <w:tcW w:w="9018" w:type="dxa"/>
            <w:hideMark/>
          </w:tcPr>
          <w:p w14:paraId="521B564A" w14:textId="77777777" w:rsidR="009B2075" w:rsidRDefault="00A054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9B2075" w14:paraId="4ED8DA1E" w14:textId="77777777" w:rsidTr="009B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53D079F3" w14:textId="77777777"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Accepts</w:t>
            </w:r>
          </w:p>
        </w:tc>
        <w:tc>
          <w:tcPr>
            <w:tcW w:w="9018" w:type="dxa"/>
            <w:hideMark/>
          </w:tcPr>
          <w:p w14:paraId="7FE3524A" w14:textId="2B59362B" w:rsidR="009B2075" w:rsidRDefault="00B52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9B2075" w14:paraId="0738821C" w14:textId="77777777" w:rsidTr="009B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703486D7" w14:textId="77777777"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Returns</w:t>
            </w:r>
          </w:p>
        </w:tc>
        <w:tc>
          <w:tcPr>
            <w:tcW w:w="9018" w:type="dxa"/>
            <w:hideMark/>
          </w:tcPr>
          <w:p w14:paraId="2A25CD0F" w14:textId="77777777" w:rsidR="009B2075" w:rsidRDefault="00A054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JSON</w:t>
            </w:r>
          </w:p>
        </w:tc>
      </w:tr>
      <w:tr w:rsidR="009B2075" w14:paraId="6F2C3B3F" w14:textId="77777777" w:rsidTr="009B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1DE40E7E" w14:textId="77777777"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Body</w:t>
            </w:r>
          </w:p>
        </w:tc>
        <w:tc>
          <w:tcPr>
            <w:tcW w:w="9018" w:type="dxa"/>
            <w:hideMark/>
          </w:tcPr>
          <w:p w14:paraId="510CB297" w14:textId="77777777" w:rsidR="009B2075" w:rsidRDefault="00A054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9B2075" w14:paraId="7AB1A0E8" w14:textId="77777777" w:rsidTr="009B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0EE9CB6A" w14:textId="77777777"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Description</w:t>
            </w:r>
          </w:p>
        </w:tc>
        <w:tc>
          <w:tcPr>
            <w:tcW w:w="9018" w:type="dxa"/>
            <w:hideMark/>
          </w:tcPr>
          <w:p w14:paraId="3A2D47CC" w14:textId="759007A9" w:rsidR="002927A8" w:rsidRDefault="00A054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This service will construct a</w:t>
            </w:r>
            <w:r w:rsidR="00B52180">
              <w:rPr>
                <w:rFonts w:asciiTheme="minorHAnsi" w:hAnsiTheme="minorHAnsi"/>
                <w:color w:val="auto"/>
              </w:rPr>
              <w:t xml:space="preserve">n empty </w:t>
            </w:r>
            <w:proofErr w:type="spellStart"/>
            <w:r w:rsidR="00B52180">
              <w:rPr>
                <w:rFonts w:asciiTheme="minorHAnsi" w:hAnsiTheme="minorHAnsi"/>
                <w:color w:val="auto"/>
              </w:rPr>
              <w:t>AccountingInfo</w:t>
            </w:r>
            <w:proofErr w:type="spellEnd"/>
            <w:r w:rsidR="00B52180">
              <w:rPr>
                <w:rFonts w:asciiTheme="minorHAnsi" w:hAnsiTheme="minorHAnsi"/>
                <w:color w:val="auto"/>
              </w:rPr>
              <w:t xml:space="preserve"> object. This object can be used to fill out the data required for the following services.</w:t>
            </w:r>
          </w:p>
          <w:p w14:paraId="76282FFA" w14:textId="77777777" w:rsidR="00A0545D" w:rsidRDefault="00A054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</w:p>
          <w:p w14:paraId="7EC585F9" w14:textId="755660CD" w:rsidR="00A0545D" w:rsidRDefault="00A054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 xml:space="preserve">A JSON representation of the </w:t>
            </w:r>
            <w:proofErr w:type="spellStart"/>
            <w:r w:rsidR="00B52180">
              <w:rPr>
                <w:rFonts w:asciiTheme="minorHAnsi" w:hAnsiTheme="minorHAnsi"/>
                <w:color w:val="auto"/>
              </w:rPr>
              <w:t>AccountingInfo</w:t>
            </w:r>
            <w:proofErr w:type="spellEnd"/>
            <w:r>
              <w:rPr>
                <w:rFonts w:asciiTheme="minorHAnsi" w:hAnsiTheme="minorHAnsi"/>
                <w:color w:val="auto"/>
              </w:rPr>
              <w:t xml:space="preserve"> object is returned.</w:t>
            </w:r>
          </w:p>
        </w:tc>
      </w:tr>
    </w:tbl>
    <w:p w14:paraId="0B76E370" w14:textId="77777777" w:rsidR="009B2075" w:rsidRDefault="009B2075" w:rsidP="00932547">
      <w:pPr>
        <w:rPr>
          <w:rFonts w:asciiTheme="minorHAnsi" w:hAnsiTheme="minorHAnsi"/>
          <w:color w:val="auto"/>
        </w:rPr>
      </w:pPr>
    </w:p>
    <w:p w14:paraId="6AFFFC9A" w14:textId="4080ABF7" w:rsidR="00932547" w:rsidRDefault="00BE6B2F" w:rsidP="00932547">
      <w:pPr>
        <w:rPr>
          <w:rFonts w:asciiTheme="majorHAnsi" w:hAnsiTheme="majorHAnsi"/>
          <w:b/>
          <w:color w:val="auto"/>
          <w:sz w:val="24"/>
          <w:szCs w:val="24"/>
        </w:rPr>
      </w:pPr>
      <w:r>
        <w:rPr>
          <w:rFonts w:asciiTheme="majorHAnsi" w:hAnsiTheme="majorHAnsi"/>
          <w:b/>
          <w:color w:val="auto"/>
          <w:sz w:val="24"/>
          <w:szCs w:val="24"/>
        </w:rPr>
        <w:t>Add Accounting</w:t>
      </w:r>
    </w:p>
    <w:tbl>
      <w:tblPr>
        <w:tblStyle w:val="PlainTable4"/>
        <w:tblW w:w="0" w:type="auto"/>
        <w:tblInd w:w="0" w:type="dxa"/>
        <w:tblLook w:val="04A0" w:firstRow="1" w:lastRow="0" w:firstColumn="1" w:lastColumn="0" w:noHBand="0" w:noVBand="1"/>
      </w:tblPr>
      <w:tblGrid>
        <w:gridCol w:w="1998"/>
        <w:gridCol w:w="9018"/>
      </w:tblGrid>
      <w:tr w:rsidR="00932547" w14:paraId="6653450B" w14:textId="77777777" w:rsidTr="006924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798A93A2" w14:textId="77777777" w:rsidR="00932547" w:rsidRDefault="00932547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Endpoint</w:t>
            </w:r>
          </w:p>
        </w:tc>
        <w:tc>
          <w:tcPr>
            <w:tcW w:w="9018" w:type="dxa"/>
            <w:hideMark/>
          </w:tcPr>
          <w:p w14:paraId="544E9913" w14:textId="3CCE8200" w:rsidR="00932547" w:rsidRDefault="00932547" w:rsidP="006924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/</w:t>
            </w:r>
            <w:r w:rsidR="005E27BB">
              <w:rPr>
                <w:rFonts w:asciiTheme="minorHAnsi" w:hAnsiTheme="minorHAnsi"/>
                <w:b w:val="0"/>
                <w:color w:val="auto"/>
              </w:rPr>
              <w:t>{type}/{policy}</w:t>
            </w:r>
          </w:p>
        </w:tc>
      </w:tr>
      <w:tr w:rsidR="00932547" w14:paraId="78B8CB02" w14:textId="77777777" w:rsidTr="00692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238C9A5A" w14:textId="77777777" w:rsidR="00932547" w:rsidRDefault="00932547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Headers</w:t>
            </w:r>
          </w:p>
        </w:tc>
        <w:tc>
          <w:tcPr>
            <w:tcW w:w="9018" w:type="dxa"/>
            <w:hideMark/>
          </w:tcPr>
          <w:p w14:paraId="640A42FD" w14:textId="0FF99DA2" w:rsidR="00932547" w:rsidRDefault="005E27BB" w:rsidP="00692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proofErr w:type="spellStart"/>
            <w:r>
              <w:rPr>
                <w:rFonts w:asciiTheme="minorHAnsi" w:hAnsiTheme="minorHAnsi"/>
                <w:color w:val="auto"/>
              </w:rPr>
              <w:t>Ti</w:t>
            </w:r>
            <w:proofErr w:type="spellEnd"/>
            <w:r>
              <w:rPr>
                <w:rFonts w:asciiTheme="minorHAnsi" w:hAnsiTheme="minorHAnsi"/>
                <w:color w:val="auto"/>
              </w:rPr>
              <w:t>-Token</w:t>
            </w:r>
          </w:p>
        </w:tc>
      </w:tr>
      <w:tr w:rsidR="00932547" w14:paraId="330D441D" w14:textId="77777777" w:rsidTr="00692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64510987" w14:textId="77777777" w:rsidR="00932547" w:rsidRDefault="00932547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Type</w:t>
            </w:r>
          </w:p>
        </w:tc>
        <w:tc>
          <w:tcPr>
            <w:tcW w:w="9018" w:type="dxa"/>
            <w:hideMark/>
          </w:tcPr>
          <w:p w14:paraId="13E77F59" w14:textId="12516FC2" w:rsidR="00932547" w:rsidRDefault="005E27BB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POST</w:t>
            </w:r>
          </w:p>
        </w:tc>
      </w:tr>
      <w:tr w:rsidR="00932547" w14:paraId="44C342B4" w14:textId="77777777" w:rsidTr="00692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1EFACAA7" w14:textId="77777777" w:rsidR="00932547" w:rsidRDefault="00932547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Query Parameters</w:t>
            </w:r>
          </w:p>
        </w:tc>
        <w:tc>
          <w:tcPr>
            <w:tcW w:w="9018" w:type="dxa"/>
            <w:hideMark/>
          </w:tcPr>
          <w:p w14:paraId="5C0B6DA4" w14:textId="0CBE3812" w:rsidR="00932547" w:rsidRDefault="005E27BB" w:rsidP="00692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Date – The date of the payment</w:t>
            </w:r>
          </w:p>
          <w:p w14:paraId="163D3266" w14:textId="7879D4CA" w:rsidR="005E27BB" w:rsidRDefault="005E27BB" w:rsidP="00692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 xml:space="preserve">Time –The time of the payment </w:t>
            </w:r>
          </w:p>
        </w:tc>
      </w:tr>
      <w:tr w:rsidR="00932547" w14:paraId="1E450880" w14:textId="77777777" w:rsidTr="00692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11E2D074" w14:textId="77777777" w:rsidR="00932547" w:rsidRDefault="00932547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Path Parameters</w:t>
            </w:r>
          </w:p>
        </w:tc>
        <w:tc>
          <w:tcPr>
            <w:tcW w:w="9018" w:type="dxa"/>
            <w:hideMark/>
          </w:tcPr>
          <w:p w14:paraId="5E09283B" w14:textId="77777777" w:rsidR="00932547" w:rsidRDefault="005E27BB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Type – The type of accounting to add. Supported values are “Premium Payments” types. E.g. CPRM, DPRM</w:t>
            </w:r>
          </w:p>
          <w:p w14:paraId="4563BC8B" w14:textId="0B57C0B0" w:rsidR="005E27BB" w:rsidRDefault="005E27BB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Policy – The policy this accounting record will affect</w:t>
            </w:r>
          </w:p>
        </w:tc>
      </w:tr>
      <w:tr w:rsidR="00932547" w14:paraId="1D52859B" w14:textId="77777777" w:rsidTr="00692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5963CE78" w14:textId="77777777" w:rsidR="00932547" w:rsidRDefault="00932547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Accepts</w:t>
            </w:r>
          </w:p>
        </w:tc>
        <w:tc>
          <w:tcPr>
            <w:tcW w:w="9018" w:type="dxa"/>
            <w:hideMark/>
          </w:tcPr>
          <w:p w14:paraId="64F4C5BB" w14:textId="20346997" w:rsidR="00932547" w:rsidRDefault="00D00735" w:rsidP="00692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Application/JSON</w:t>
            </w:r>
          </w:p>
        </w:tc>
      </w:tr>
      <w:tr w:rsidR="00932547" w14:paraId="20F537D7" w14:textId="77777777" w:rsidTr="00692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01DC49A7" w14:textId="77777777" w:rsidR="00932547" w:rsidRDefault="00932547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Returns</w:t>
            </w:r>
          </w:p>
        </w:tc>
        <w:tc>
          <w:tcPr>
            <w:tcW w:w="9018" w:type="dxa"/>
            <w:hideMark/>
          </w:tcPr>
          <w:p w14:paraId="7B0243F0" w14:textId="7B810DC7" w:rsidR="00932547" w:rsidRDefault="00D00735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JSON</w:t>
            </w:r>
          </w:p>
        </w:tc>
      </w:tr>
      <w:tr w:rsidR="00932547" w14:paraId="389EFCD8" w14:textId="77777777" w:rsidTr="00692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7A6C0200" w14:textId="77777777" w:rsidR="00932547" w:rsidRDefault="00932547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Body</w:t>
            </w:r>
          </w:p>
        </w:tc>
        <w:tc>
          <w:tcPr>
            <w:tcW w:w="9018" w:type="dxa"/>
            <w:hideMark/>
          </w:tcPr>
          <w:p w14:paraId="1C95C478" w14:textId="3BEE86A1" w:rsidR="00932547" w:rsidRDefault="00D532A0" w:rsidP="00692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JSON</w:t>
            </w:r>
          </w:p>
        </w:tc>
      </w:tr>
      <w:tr w:rsidR="00932547" w14:paraId="4AC95554" w14:textId="77777777" w:rsidTr="00692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4656CEB9" w14:textId="77777777" w:rsidR="00932547" w:rsidRDefault="00932547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Description</w:t>
            </w:r>
          </w:p>
        </w:tc>
        <w:tc>
          <w:tcPr>
            <w:tcW w:w="9018" w:type="dxa"/>
            <w:hideMark/>
          </w:tcPr>
          <w:p w14:paraId="0B456A66" w14:textId="5C54CFFD" w:rsidR="004D0AF7" w:rsidRDefault="004D0AF7" w:rsidP="004D0A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 xml:space="preserve">This service will </w:t>
            </w:r>
            <w:r w:rsidR="00D532A0">
              <w:rPr>
                <w:rFonts w:asciiTheme="minorHAnsi" w:hAnsiTheme="minorHAnsi"/>
                <w:color w:val="auto"/>
              </w:rPr>
              <w:t>write the corresponding accounting record to ADBARAC for background processing.</w:t>
            </w:r>
          </w:p>
          <w:p w14:paraId="3CBBFA59" w14:textId="127FEF38" w:rsidR="00D532A0" w:rsidRDefault="00D532A0" w:rsidP="004D0A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</w:p>
          <w:p w14:paraId="5108E460" w14:textId="6C0DD760" w:rsidR="00D532A0" w:rsidRDefault="00D532A0" w:rsidP="004D0A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The path and query parameters are used for verification while the body</w:t>
            </w:r>
            <w:r w:rsidR="00882A10">
              <w:rPr>
                <w:rFonts w:asciiTheme="minorHAnsi" w:hAnsiTheme="minorHAnsi"/>
                <w:color w:val="auto"/>
              </w:rPr>
              <w:t xml:space="preserve"> is used to post the data supplied.</w:t>
            </w:r>
          </w:p>
          <w:p w14:paraId="6A0C65E0" w14:textId="78AD20B5" w:rsidR="00A84499" w:rsidRDefault="00A84499" w:rsidP="004D0A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</w:p>
          <w:p w14:paraId="24CCB3E5" w14:textId="1001B643" w:rsidR="00A84499" w:rsidRDefault="00A84499" w:rsidP="004D0A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 xml:space="preserve">This services requires the use of the Login service to get the appropriate </w:t>
            </w:r>
            <w:proofErr w:type="spellStart"/>
            <w:r>
              <w:rPr>
                <w:rFonts w:asciiTheme="minorHAnsi" w:hAnsiTheme="minorHAnsi"/>
                <w:color w:val="auto"/>
              </w:rPr>
              <w:t>Ti</w:t>
            </w:r>
            <w:proofErr w:type="spellEnd"/>
            <w:r>
              <w:rPr>
                <w:rFonts w:asciiTheme="minorHAnsi" w:hAnsiTheme="minorHAnsi"/>
                <w:color w:val="auto"/>
              </w:rPr>
              <w:t>-Token from Titanium.</w:t>
            </w:r>
            <w:bookmarkStart w:id="0" w:name="_GoBack"/>
            <w:bookmarkEnd w:id="0"/>
          </w:p>
          <w:p w14:paraId="5A6E3DB3" w14:textId="77777777" w:rsidR="00D532A0" w:rsidRPr="00655B18" w:rsidRDefault="00D532A0" w:rsidP="004D0A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color w:val="auto"/>
              </w:rPr>
            </w:pPr>
          </w:p>
          <w:p w14:paraId="010F80B5" w14:textId="77777777" w:rsidR="00655B18" w:rsidRPr="00655B18" w:rsidRDefault="00655B18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color w:val="auto"/>
              </w:rPr>
            </w:pPr>
          </w:p>
        </w:tc>
      </w:tr>
    </w:tbl>
    <w:p w14:paraId="28DB4C7D" w14:textId="77777777" w:rsidR="00932547" w:rsidRDefault="00932547" w:rsidP="00932547">
      <w:pPr>
        <w:rPr>
          <w:rFonts w:asciiTheme="minorHAnsi" w:hAnsiTheme="minorHAnsi"/>
          <w:color w:val="auto"/>
        </w:rPr>
      </w:pPr>
    </w:p>
    <w:sectPr w:rsidR="00932547">
      <w:headerReference w:type="default" r:id="rId6"/>
      <w:footerReference w:type="default" r:id="rId7"/>
      <w:pgSz w:w="12240" w:h="15840"/>
      <w:pgMar w:top="1440" w:right="720" w:bottom="144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12CE42" w14:textId="77777777" w:rsidR="00632BD2" w:rsidRDefault="00632BD2">
      <w:pPr>
        <w:spacing w:line="240" w:lineRule="auto"/>
      </w:pPr>
      <w:r>
        <w:separator/>
      </w:r>
    </w:p>
  </w:endnote>
  <w:endnote w:type="continuationSeparator" w:id="0">
    <w:p w14:paraId="7B79B715" w14:textId="77777777" w:rsidR="00632BD2" w:rsidRDefault="00632B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37722C" w14:textId="77777777" w:rsidR="00D266BA" w:rsidRDefault="00D266BA">
    <w:pPr>
      <w:ind w:left="-360" w:right="-360"/>
      <w:rPr>
        <w:rFonts w:ascii="Calibri" w:eastAsia="Calibri" w:hAnsi="Calibri" w:cs="Calibri"/>
        <w:color w:val="B7B7B7"/>
      </w:rPr>
    </w:pPr>
  </w:p>
  <w:p w14:paraId="0823DB61" w14:textId="77777777" w:rsidR="00D266BA" w:rsidRDefault="00B6056A">
    <w:pPr>
      <w:ind w:left="1710" w:firstLine="720"/>
      <w:rPr>
        <w:rFonts w:ascii="Calibri" w:eastAsia="Calibri" w:hAnsi="Calibri" w:cs="Calibri"/>
        <w:color w:val="B7B7B7"/>
      </w:rPr>
    </w:pPr>
    <w:r>
      <w:rPr>
        <w:rFonts w:ascii="Calibri" w:eastAsia="Calibri" w:hAnsi="Calibri" w:cs="Calibri"/>
        <w:color w:val="B7B7B7"/>
      </w:rPr>
      <w:t>The vision to know what lies beyond,</w:t>
    </w:r>
    <w:r>
      <w:rPr>
        <w:noProof/>
      </w:rPr>
      <w:drawing>
        <wp:anchor distT="0" distB="0" distL="0" distR="0" simplePos="0" relativeHeight="251658240" behindDoc="0" locked="0" layoutInCell="0" hidden="0" allowOverlap="1" wp14:anchorId="0B4BBD7A" wp14:editId="73B0A5C4">
          <wp:simplePos x="0" y="0"/>
          <wp:positionH relativeFrom="margin">
            <wp:posOffset>-200024</wp:posOffset>
          </wp:positionH>
          <wp:positionV relativeFrom="paragraph">
            <wp:posOffset>28575</wp:posOffset>
          </wp:positionV>
          <wp:extent cx="681038" cy="541548"/>
          <wp:effectExtent l="0" t="0" r="0" b="0"/>
          <wp:wrapSquare wrapText="bothSides" distT="0" distB="0" distL="0" distR="0"/>
          <wp:docPr id="1" name="image2.png" descr="LIDP_logo_2013-964x689_Transparent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IDP_logo_2013-964x689_Transparent.png"/>
                  <pic:cNvPicPr preferRelativeResize="0"/>
                </pic:nvPicPr>
                <pic:blipFill>
                  <a:blip r:embed="rId1"/>
                  <a:srcRect l="20634" t="12000" r="24603" b="24315"/>
                  <a:stretch>
                    <a:fillRect/>
                  </a:stretch>
                </pic:blipFill>
                <pic:spPr>
                  <a:xfrm>
                    <a:off x="0" y="0"/>
                    <a:ext cx="681038" cy="5415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2A3C019" w14:textId="77777777" w:rsidR="00D266BA" w:rsidRDefault="00B6056A">
    <w:pPr>
      <w:spacing w:line="240" w:lineRule="auto"/>
      <w:ind w:left="2430" w:firstLine="720"/>
      <w:rPr>
        <w:rFonts w:ascii="Calibri" w:eastAsia="Calibri" w:hAnsi="Calibri" w:cs="Calibri"/>
        <w:color w:val="B7B7B7"/>
      </w:rPr>
    </w:pPr>
    <w:r>
      <w:rPr>
        <w:rFonts w:ascii="Calibri" w:eastAsia="Calibri" w:hAnsi="Calibri" w:cs="Calibri"/>
        <w:color w:val="B7B7B7"/>
      </w:rPr>
      <w:t>the knowledge to bring it into focus,</w:t>
    </w:r>
  </w:p>
  <w:p w14:paraId="3F0D7133" w14:textId="77777777" w:rsidR="00D266BA" w:rsidRDefault="00B6056A">
    <w:pPr>
      <w:spacing w:line="240" w:lineRule="auto"/>
      <w:ind w:left="2880" w:firstLine="720"/>
      <w:jc w:val="right"/>
      <w:rPr>
        <w:rFonts w:ascii="Calibri" w:eastAsia="Calibri" w:hAnsi="Calibri" w:cs="Calibri"/>
      </w:rPr>
    </w:pPr>
    <w:r>
      <w:rPr>
        <w:rFonts w:ascii="Calibri" w:eastAsia="Calibri" w:hAnsi="Calibri" w:cs="Calibri"/>
        <w:color w:val="B7B7B7"/>
      </w:rPr>
      <w:t>and the mission to make it a reality.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fldChar w:fldCharType="begin"/>
    </w:r>
    <w:r>
      <w:rPr>
        <w:rFonts w:ascii="Calibri" w:eastAsia="Calibri" w:hAnsi="Calibri" w:cs="Calibri"/>
      </w:rPr>
      <w:instrText>PAGE</w:instrText>
    </w:r>
    <w:r>
      <w:rPr>
        <w:rFonts w:ascii="Calibri" w:eastAsia="Calibri" w:hAnsi="Calibri" w:cs="Calibri"/>
      </w:rPr>
      <w:fldChar w:fldCharType="separate"/>
    </w:r>
    <w:r w:rsidR="00A942AF">
      <w:rPr>
        <w:rFonts w:ascii="Calibri" w:eastAsia="Calibri" w:hAnsi="Calibri" w:cs="Calibri"/>
        <w:noProof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of </w:t>
    </w:r>
    <w:r>
      <w:rPr>
        <w:rFonts w:ascii="Calibri" w:eastAsia="Calibri" w:hAnsi="Calibri" w:cs="Calibri"/>
      </w:rPr>
      <w:fldChar w:fldCharType="begin"/>
    </w:r>
    <w:r>
      <w:rPr>
        <w:rFonts w:ascii="Calibri" w:eastAsia="Calibri" w:hAnsi="Calibri" w:cs="Calibri"/>
      </w:rPr>
      <w:instrText>NUMPAGES</w:instrText>
    </w:r>
    <w:r>
      <w:rPr>
        <w:rFonts w:ascii="Calibri" w:eastAsia="Calibri" w:hAnsi="Calibri" w:cs="Calibri"/>
      </w:rPr>
      <w:fldChar w:fldCharType="separate"/>
    </w:r>
    <w:r w:rsidR="00A942AF">
      <w:rPr>
        <w:rFonts w:ascii="Calibri" w:eastAsia="Calibri" w:hAnsi="Calibri" w:cs="Calibri"/>
        <w:noProof/>
      </w:rPr>
      <w:t>1</w:t>
    </w:r>
    <w:r>
      <w:rPr>
        <w:rFonts w:ascii="Calibri" w:eastAsia="Calibri" w:hAnsi="Calibri" w:cs="Calibri"/>
      </w:rPr>
      <w:fldChar w:fldCharType="end"/>
    </w:r>
  </w:p>
  <w:p w14:paraId="01BC7D82" w14:textId="77777777" w:rsidR="00D266BA" w:rsidRDefault="00D266BA">
    <w:pPr>
      <w:spacing w:line="240" w:lineRule="auto"/>
      <w:ind w:right="-180"/>
      <w:rPr>
        <w:rFonts w:ascii="Calibri" w:eastAsia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4B9432" w14:textId="77777777" w:rsidR="00632BD2" w:rsidRDefault="00632BD2">
      <w:pPr>
        <w:spacing w:line="240" w:lineRule="auto"/>
      </w:pPr>
      <w:r>
        <w:separator/>
      </w:r>
    </w:p>
  </w:footnote>
  <w:footnote w:type="continuationSeparator" w:id="0">
    <w:p w14:paraId="1627CF08" w14:textId="77777777" w:rsidR="00632BD2" w:rsidRDefault="00632B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161353" w14:textId="77777777" w:rsidR="00D266BA" w:rsidRDefault="00D266BA">
    <w:pPr>
      <w:ind w:left="-360" w:right="-360"/>
      <w:rPr>
        <w:rFonts w:ascii="Calibri" w:eastAsia="Calibri" w:hAnsi="Calibri" w:cs="Calibri"/>
      </w:rPr>
    </w:pPr>
  </w:p>
  <w:tbl>
    <w:tblPr>
      <w:tblStyle w:val="a1"/>
      <w:tblW w:w="11010" w:type="dxa"/>
      <w:tblInd w:w="-120" w:type="dxa"/>
      <w:tblLayout w:type="fixed"/>
      <w:tblLook w:val="0600" w:firstRow="0" w:lastRow="0" w:firstColumn="0" w:lastColumn="0" w:noHBand="1" w:noVBand="1"/>
    </w:tblPr>
    <w:tblGrid>
      <w:gridCol w:w="8760"/>
      <w:gridCol w:w="2250"/>
    </w:tblGrid>
    <w:tr w:rsidR="00D266BA" w14:paraId="7128EAEF" w14:textId="77777777">
      <w:tc>
        <w:tcPr>
          <w:tcW w:w="8760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22F0217C" w14:textId="1E59A20B" w:rsidR="00D266BA" w:rsidRDefault="00B6056A">
          <w:pPr>
            <w:spacing w:line="240" w:lineRule="auto"/>
            <w:ind w:left="-100" w:right="-360"/>
            <w:rPr>
              <w:rFonts w:ascii="Calibri" w:eastAsia="Calibri" w:hAnsi="Calibri" w:cs="Calibri"/>
              <w:b/>
            </w:rPr>
          </w:pPr>
          <w:r>
            <w:rPr>
              <w:rFonts w:ascii="Calibri" w:eastAsia="Calibri" w:hAnsi="Calibri" w:cs="Calibri"/>
            </w:rPr>
            <w:t xml:space="preserve">LIDP Consulting Services </w:t>
          </w:r>
          <w:r w:rsidR="009B2075">
            <w:rPr>
              <w:rFonts w:ascii="Calibri" w:eastAsia="Calibri" w:hAnsi="Calibri" w:cs="Calibri"/>
            </w:rPr>
            <w:t>–</w:t>
          </w:r>
          <w:r>
            <w:rPr>
              <w:rFonts w:ascii="Calibri" w:eastAsia="Calibri" w:hAnsi="Calibri" w:cs="Calibri"/>
            </w:rPr>
            <w:t xml:space="preserve"> </w:t>
          </w:r>
          <w:r w:rsidR="00764C1A">
            <w:rPr>
              <w:rFonts w:ascii="Calibri" w:eastAsia="Calibri" w:hAnsi="Calibri" w:cs="Calibri"/>
              <w:b/>
            </w:rPr>
            <w:t>Accounting</w:t>
          </w:r>
          <w:r w:rsidR="008026CF">
            <w:rPr>
              <w:rFonts w:ascii="Calibri" w:eastAsia="Calibri" w:hAnsi="Calibri" w:cs="Calibri"/>
              <w:b/>
            </w:rPr>
            <w:t xml:space="preserve"> W</w:t>
          </w:r>
          <w:r w:rsidR="009B2075">
            <w:rPr>
              <w:rFonts w:ascii="Calibri" w:eastAsia="Calibri" w:hAnsi="Calibri" w:cs="Calibri"/>
              <w:b/>
            </w:rPr>
            <w:t>eb Service</w:t>
          </w:r>
        </w:p>
      </w:tc>
      <w:tc>
        <w:tcPr>
          <w:tcW w:w="2250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71414CB7" w14:textId="0FF5EA78" w:rsidR="00D266BA" w:rsidRDefault="00764C1A">
          <w:pPr>
            <w:spacing w:line="288" w:lineRule="auto"/>
            <w:ind w:right="-90"/>
            <w:jc w:val="right"/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</w:rPr>
            <w:t>March</w:t>
          </w:r>
          <w:r w:rsidR="00932547">
            <w:rPr>
              <w:rFonts w:ascii="Calibri" w:eastAsia="Calibri" w:hAnsi="Calibri" w:cs="Calibri"/>
            </w:rPr>
            <w:t xml:space="preserve"> </w:t>
          </w:r>
          <w:r w:rsidR="00B6056A">
            <w:rPr>
              <w:rFonts w:ascii="Calibri" w:eastAsia="Calibri" w:hAnsi="Calibri" w:cs="Calibri"/>
            </w:rPr>
            <w:t>201</w:t>
          </w:r>
          <w:r>
            <w:rPr>
              <w:rFonts w:ascii="Calibri" w:eastAsia="Calibri" w:hAnsi="Calibri" w:cs="Calibri"/>
            </w:rPr>
            <w:t>8</w:t>
          </w:r>
        </w:p>
      </w:tc>
    </w:tr>
  </w:tbl>
  <w:p w14:paraId="49C9C6BD" w14:textId="77777777" w:rsidR="00D266BA" w:rsidRDefault="00632BD2">
    <w:pPr>
      <w:spacing w:line="240" w:lineRule="auto"/>
      <w:ind w:left="-360" w:right="-360"/>
    </w:pPr>
    <w:r>
      <w:pict w14:anchorId="101185EE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66BA"/>
    <w:rsid w:val="00014F96"/>
    <w:rsid w:val="000B78C4"/>
    <w:rsid w:val="001702EB"/>
    <w:rsid w:val="001C2539"/>
    <w:rsid w:val="00210EAD"/>
    <w:rsid w:val="002927A8"/>
    <w:rsid w:val="002B4207"/>
    <w:rsid w:val="002F3D85"/>
    <w:rsid w:val="004272BA"/>
    <w:rsid w:val="004D026B"/>
    <w:rsid w:val="004D0AF7"/>
    <w:rsid w:val="00582730"/>
    <w:rsid w:val="005B4F55"/>
    <w:rsid w:val="005E27BB"/>
    <w:rsid w:val="00632BD2"/>
    <w:rsid w:val="00655B18"/>
    <w:rsid w:val="006F632F"/>
    <w:rsid w:val="00764C1A"/>
    <w:rsid w:val="007672AF"/>
    <w:rsid w:val="008026CF"/>
    <w:rsid w:val="00815B8D"/>
    <w:rsid w:val="00863BD4"/>
    <w:rsid w:val="00882A10"/>
    <w:rsid w:val="00932547"/>
    <w:rsid w:val="009659FF"/>
    <w:rsid w:val="00990E30"/>
    <w:rsid w:val="009A0034"/>
    <w:rsid w:val="009B2075"/>
    <w:rsid w:val="009D66B7"/>
    <w:rsid w:val="009F5154"/>
    <w:rsid w:val="00A0545D"/>
    <w:rsid w:val="00A84499"/>
    <w:rsid w:val="00A942AF"/>
    <w:rsid w:val="00B13F6A"/>
    <w:rsid w:val="00B238D7"/>
    <w:rsid w:val="00B25A38"/>
    <w:rsid w:val="00B52180"/>
    <w:rsid w:val="00B6056A"/>
    <w:rsid w:val="00B67ABF"/>
    <w:rsid w:val="00B93976"/>
    <w:rsid w:val="00BB026C"/>
    <w:rsid w:val="00BE6B2F"/>
    <w:rsid w:val="00BF333C"/>
    <w:rsid w:val="00CB645A"/>
    <w:rsid w:val="00CB6656"/>
    <w:rsid w:val="00D00735"/>
    <w:rsid w:val="00D266BA"/>
    <w:rsid w:val="00D532A0"/>
    <w:rsid w:val="00DC3E4B"/>
    <w:rsid w:val="00DD7FF8"/>
    <w:rsid w:val="00E4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F7EDB4"/>
  <w15:docId w15:val="{AA8D3D1A-09FF-4A7D-8559-89EC6E20C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line="360" w:lineRule="auto"/>
      <w:contextualSpacing/>
      <w:outlineLvl w:val="0"/>
    </w:pPr>
    <w:rPr>
      <w:b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CB645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3D8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D85"/>
  </w:style>
  <w:style w:type="paragraph" w:styleId="Footer">
    <w:name w:val="footer"/>
    <w:basedOn w:val="Normal"/>
    <w:link w:val="FooterChar"/>
    <w:uiPriority w:val="99"/>
    <w:unhideWhenUsed/>
    <w:rsid w:val="002F3D8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D85"/>
  </w:style>
  <w:style w:type="table" w:styleId="PlainTable4">
    <w:name w:val="Plain Table 4"/>
    <w:basedOn w:val="TableNormal"/>
    <w:uiPriority w:val="44"/>
    <w:rsid w:val="009B2075"/>
    <w:pPr>
      <w:spacing w:line="240" w:lineRule="auto"/>
    </w:p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9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Matthew Segreti</cp:lastModifiedBy>
  <cp:revision>31</cp:revision>
  <dcterms:created xsi:type="dcterms:W3CDTF">2017-06-01T17:12:00Z</dcterms:created>
  <dcterms:modified xsi:type="dcterms:W3CDTF">2018-03-26T19:26:00Z</dcterms:modified>
</cp:coreProperties>
</file>