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2075" w:rsidRDefault="009A0034" w:rsidP="009B2075">
      <w:pPr>
        <w:rPr>
          <w:rFonts w:asciiTheme="majorHAnsi" w:hAnsiTheme="majorHAnsi"/>
          <w:b/>
          <w:color w:val="auto"/>
          <w:sz w:val="28"/>
          <w:szCs w:val="28"/>
        </w:rPr>
      </w:pPr>
      <w:r>
        <w:rPr>
          <w:rFonts w:asciiTheme="majorHAnsi" w:hAnsiTheme="majorHAnsi"/>
          <w:b/>
          <w:color w:val="auto"/>
          <w:sz w:val="28"/>
          <w:szCs w:val="28"/>
        </w:rPr>
        <w:t>Conversion</w:t>
      </w:r>
    </w:p>
    <w:p w:rsidR="00B93976" w:rsidRDefault="009B2075" w:rsidP="009B2075">
      <w:pPr>
        <w:rPr>
          <w:rFonts w:asciiTheme="minorHAnsi" w:hAnsiTheme="minorHAnsi"/>
          <w:color w:val="auto"/>
        </w:rPr>
      </w:pPr>
      <w:r>
        <w:rPr>
          <w:rFonts w:asciiTheme="minorHAnsi" w:hAnsiTheme="minorHAnsi"/>
          <w:color w:val="auto"/>
        </w:rPr>
        <w:t>Below are th</w:t>
      </w:r>
      <w:r w:rsidR="009A0034">
        <w:rPr>
          <w:rFonts w:asciiTheme="minorHAnsi" w:hAnsiTheme="minorHAnsi"/>
          <w:color w:val="auto"/>
        </w:rPr>
        <w:t>e endpoint definitions for the conversion</w:t>
      </w:r>
      <w:r>
        <w:rPr>
          <w:rFonts w:asciiTheme="minorHAnsi" w:hAnsiTheme="minorHAnsi"/>
          <w:color w:val="auto"/>
        </w:rPr>
        <w:t xml:space="preserve"> web service.</w:t>
      </w:r>
      <w:r w:rsidR="00655B18">
        <w:rPr>
          <w:rFonts w:asciiTheme="minorHAnsi" w:hAnsiTheme="minorHAnsi"/>
          <w:color w:val="auto"/>
        </w:rPr>
        <w:t xml:space="preserve"> </w:t>
      </w:r>
      <w:r w:rsidR="00014F96">
        <w:rPr>
          <w:rFonts w:asciiTheme="minorHAnsi" w:hAnsiTheme="minorHAnsi"/>
          <w:color w:val="auto"/>
        </w:rPr>
        <w:t>This service connects to a database to run various commands. To do this the ADMI_Database.properties file must be configured with</w:t>
      </w:r>
      <w:r w:rsidR="00815B8D">
        <w:rPr>
          <w:rFonts w:asciiTheme="minorHAnsi" w:hAnsiTheme="minorHAnsi"/>
          <w:color w:val="auto"/>
        </w:rPr>
        <w:t>in</w:t>
      </w:r>
      <w:r w:rsidR="00014F96">
        <w:rPr>
          <w:rFonts w:asciiTheme="minorHAnsi" w:hAnsiTheme="minorHAnsi"/>
          <w:color w:val="auto"/>
        </w:rPr>
        <w:t xml:space="preserve"> ADMI_HOME/config</w:t>
      </w:r>
      <w:r w:rsidR="004D026B">
        <w:rPr>
          <w:rFonts w:asciiTheme="minorHAnsi" w:hAnsiTheme="minorHAnsi"/>
          <w:color w:val="auto"/>
        </w:rPr>
        <w:t>.</w:t>
      </w:r>
    </w:p>
    <w:p w:rsidR="000B78C4" w:rsidRDefault="000B78C4" w:rsidP="009B2075">
      <w:pPr>
        <w:rPr>
          <w:rFonts w:asciiTheme="minorHAnsi" w:hAnsiTheme="minorHAnsi"/>
          <w:color w:val="auto"/>
        </w:rPr>
      </w:pPr>
    </w:p>
    <w:p w:rsidR="009B2075" w:rsidRDefault="00B93976" w:rsidP="009B2075">
      <w:pPr>
        <w:rPr>
          <w:rFonts w:asciiTheme="majorHAnsi" w:hAnsiTheme="majorHAnsi"/>
          <w:b/>
          <w:color w:val="auto"/>
          <w:sz w:val="24"/>
          <w:szCs w:val="24"/>
        </w:rPr>
      </w:pPr>
      <w:r>
        <w:rPr>
          <w:rFonts w:asciiTheme="majorHAnsi" w:hAnsiTheme="majorHAnsi"/>
          <w:b/>
          <w:color w:val="auto"/>
          <w:sz w:val="24"/>
          <w:szCs w:val="24"/>
        </w:rPr>
        <w:t>Support Data</w:t>
      </w:r>
    </w:p>
    <w:tbl>
      <w:tblPr>
        <w:tblStyle w:val="PlainTable4"/>
        <w:tblW w:w="0" w:type="auto"/>
        <w:tblInd w:w="0" w:type="dxa"/>
        <w:tblLook w:val="04A0" w:firstRow="1" w:lastRow="0" w:firstColumn="1" w:lastColumn="0" w:noHBand="0" w:noVBand="1"/>
      </w:tblPr>
      <w:tblGrid>
        <w:gridCol w:w="1998"/>
        <w:gridCol w:w="9018"/>
      </w:tblGrid>
      <w:tr w:rsidR="009B2075" w:rsidTr="009B20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9B2075" w:rsidRDefault="009B2075">
            <w:pPr>
              <w:rPr>
                <w:rFonts w:asciiTheme="minorHAnsi" w:hAnsiTheme="minorHAnsi"/>
                <w:color w:val="auto"/>
              </w:rPr>
            </w:pPr>
            <w:r>
              <w:rPr>
                <w:rFonts w:asciiTheme="minorHAnsi" w:hAnsiTheme="minorHAnsi"/>
                <w:color w:val="auto"/>
              </w:rPr>
              <w:t>Endpoint</w:t>
            </w:r>
          </w:p>
        </w:tc>
        <w:tc>
          <w:tcPr>
            <w:tcW w:w="9018" w:type="dxa"/>
            <w:hideMark/>
          </w:tcPr>
          <w:p w:rsidR="009B2075" w:rsidRDefault="00B93976">
            <w:pPr>
              <w:cnfStyle w:val="100000000000" w:firstRow="1" w:lastRow="0" w:firstColumn="0" w:lastColumn="0" w:oddVBand="0" w:evenVBand="0" w:oddHBand="0" w:evenHBand="0" w:firstRowFirstColumn="0" w:firstRowLastColumn="0" w:lastRowFirstColumn="0" w:lastRowLastColumn="0"/>
              <w:rPr>
                <w:rFonts w:asciiTheme="minorHAnsi" w:hAnsiTheme="minorHAnsi"/>
                <w:b w:val="0"/>
                <w:color w:val="auto"/>
              </w:rPr>
            </w:pPr>
            <w:r>
              <w:rPr>
                <w:rFonts w:asciiTheme="minorHAnsi" w:hAnsiTheme="minorHAnsi"/>
                <w:b w:val="0"/>
                <w:color w:val="auto"/>
              </w:rPr>
              <w:t>/Tools/Support/Policy/{tableID}</w:t>
            </w:r>
          </w:p>
        </w:tc>
      </w:tr>
      <w:tr w:rsidR="009B2075" w:rsidTr="009B20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9B2075" w:rsidRDefault="009B2075">
            <w:pPr>
              <w:rPr>
                <w:rFonts w:asciiTheme="minorHAnsi" w:hAnsiTheme="minorHAnsi"/>
                <w:color w:val="auto"/>
              </w:rPr>
            </w:pPr>
            <w:r>
              <w:rPr>
                <w:rFonts w:asciiTheme="minorHAnsi" w:hAnsiTheme="minorHAnsi"/>
                <w:color w:val="auto"/>
              </w:rPr>
              <w:t>Headers</w:t>
            </w:r>
          </w:p>
        </w:tc>
        <w:tc>
          <w:tcPr>
            <w:tcW w:w="9018" w:type="dxa"/>
            <w:hideMark/>
          </w:tcPr>
          <w:p w:rsidR="009B2075" w:rsidRDefault="00B93976">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Ti-Token</w:t>
            </w:r>
          </w:p>
        </w:tc>
      </w:tr>
      <w:tr w:rsidR="009B2075" w:rsidTr="009B2075">
        <w:tc>
          <w:tcPr>
            <w:cnfStyle w:val="001000000000" w:firstRow="0" w:lastRow="0" w:firstColumn="1" w:lastColumn="0" w:oddVBand="0" w:evenVBand="0" w:oddHBand="0" w:evenHBand="0" w:firstRowFirstColumn="0" w:firstRowLastColumn="0" w:lastRowFirstColumn="0" w:lastRowLastColumn="0"/>
            <w:tcW w:w="1998" w:type="dxa"/>
            <w:hideMark/>
          </w:tcPr>
          <w:p w:rsidR="009B2075" w:rsidRDefault="009B2075">
            <w:pPr>
              <w:rPr>
                <w:rFonts w:asciiTheme="minorHAnsi" w:hAnsiTheme="minorHAnsi"/>
                <w:color w:val="auto"/>
              </w:rPr>
            </w:pPr>
            <w:r>
              <w:rPr>
                <w:rFonts w:asciiTheme="minorHAnsi" w:hAnsiTheme="minorHAnsi"/>
                <w:color w:val="auto"/>
              </w:rPr>
              <w:t>Type</w:t>
            </w:r>
          </w:p>
        </w:tc>
        <w:tc>
          <w:tcPr>
            <w:tcW w:w="9018" w:type="dxa"/>
            <w:hideMark/>
          </w:tcPr>
          <w:p w:rsidR="009B2075" w:rsidRDefault="00B9397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PUT</w:t>
            </w:r>
          </w:p>
        </w:tc>
      </w:tr>
      <w:tr w:rsidR="009B2075" w:rsidTr="009B20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9B2075" w:rsidRDefault="009B2075">
            <w:pPr>
              <w:rPr>
                <w:rFonts w:asciiTheme="minorHAnsi" w:hAnsiTheme="minorHAnsi"/>
                <w:color w:val="auto"/>
              </w:rPr>
            </w:pPr>
            <w:r>
              <w:rPr>
                <w:rFonts w:asciiTheme="minorHAnsi" w:hAnsiTheme="minorHAnsi"/>
                <w:color w:val="auto"/>
              </w:rPr>
              <w:t>Query Parameters</w:t>
            </w:r>
          </w:p>
        </w:tc>
        <w:tc>
          <w:tcPr>
            <w:tcW w:w="9018" w:type="dxa"/>
            <w:hideMark/>
          </w:tcPr>
          <w:p w:rsidR="009B2075" w:rsidRDefault="00B93976">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9B2075" w:rsidTr="009B2075">
        <w:tc>
          <w:tcPr>
            <w:cnfStyle w:val="001000000000" w:firstRow="0" w:lastRow="0" w:firstColumn="1" w:lastColumn="0" w:oddVBand="0" w:evenVBand="0" w:oddHBand="0" w:evenHBand="0" w:firstRowFirstColumn="0" w:firstRowLastColumn="0" w:lastRowFirstColumn="0" w:lastRowLastColumn="0"/>
            <w:tcW w:w="1998" w:type="dxa"/>
            <w:hideMark/>
          </w:tcPr>
          <w:p w:rsidR="009B2075" w:rsidRDefault="009B2075">
            <w:pPr>
              <w:rPr>
                <w:rFonts w:asciiTheme="minorHAnsi" w:hAnsiTheme="minorHAnsi"/>
                <w:color w:val="auto"/>
              </w:rPr>
            </w:pPr>
            <w:r>
              <w:rPr>
                <w:rFonts w:asciiTheme="minorHAnsi" w:hAnsiTheme="minorHAnsi"/>
                <w:color w:val="auto"/>
              </w:rPr>
              <w:t>Path Parameters</w:t>
            </w:r>
          </w:p>
        </w:tc>
        <w:tc>
          <w:tcPr>
            <w:tcW w:w="9018" w:type="dxa"/>
            <w:hideMark/>
          </w:tcPr>
          <w:p w:rsidR="009B2075" w:rsidRDefault="00B9397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 xml:space="preserve">tableID – Either </w:t>
            </w:r>
            <w:r w:rsidR="003325C8">
              <w:rPr>
                <w:rFonts w:asciiTheme="minorHAnsi" w:hAnsiTheme="minorHAnsi"/>
                <w:color w:val="auto"/>
              </w:rPr>
              <w:t xml:space="preserve">ARAC, </w:t>
            </w:r>
            <w:r>
              <w:rPr>
                <w:rFonts w:asciiTheme="minorHAnsi" w:hAnsiTheme="minorHAnsi"/>
                <w:color w:val="auto"/>
              </w:rPr>
              <w:t>XRAC, SRAC, or MUAC</w:t>
            </w:r>
          </w:p>
        </w:tc>
      </w:tr>
      <w:tr w:rsidR="009B2075" w:rsidTr="009B20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9B2075" w:rsidRDefault="009B2075">
            <w:pPr>
              <w:rPr>
                <w:rFonts w:asciiTheme="minorHAnsi" w:hAnsiTheme="minorHAnsi"/>
                <w:color w:val="auto"/>
              </w:rPr>
            </w:pPr>
            <w:r>
              <w:rPr>
                <w:rFonts w:asciiTheme="minorHAnsi" w:hAnsiTheme="minorHAnsi"/>
                <w:color w:val="auto"/>
              </w:rPr>
              <w:t>Accepts</w:t>
            </w:r>
          </w:p>
        </w:tc>
        <w:tc>
          <w:tcPr>
            <w:tcW w:w="9018" w:type="dxa"/>
            <w:hideMark/>
          </w:tcPr>
          <w:p w:rsidR="009B2075" w:rsidRDefault="001C2539">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XML</w:t>
            </w:r>
          </w:p>
        </w:tc>
      </w:tr>
      <w:tr w:rsidR="009B2075" w:rsidTr="009B2075">
        <w:tc>
          <w:tcPr>
            <w:cnfStyle w:val="001000000000" w:firstRow="0" w:lastRow="0" w:firstColumn="1" w:lastColumn="0" w:oddVBand="0" w:evenVBand="0" w:oddHBand="0" w:evenHBand="0" w:firstRowFirstColumn="0" w:firstRowLastColumn="0" w:lastRowFirstColumn="0" w:lastRowLastColumn="0"/>
            <w:tcW w:w="1998" w:type="dxa"/>
            <w:hideMark/>
          </w:tcPr>
          <w:p w:rsidR="009B2075" w:rsidRDefault="009B2075">
            <w:pPr>
              <w:rPr>
                <w:rFonts w:asciiTheme="minorHAnsi" w:hAnsiTheme="minorHAnsi"/>
                <w:color w:val="auto"/>
              </w:rPr>
            </w:pPr>
            <w:r>
              <w:rPr>
                <w:rFonts w:asciiTheme="minorHAnsi" w:hAnsiTheme="minorHAnsi"/>
                <w:color w:val="auto"/>
              </w:rPr>
              <w:t>Returns</w:t>
            </w:r>
          </w:p>
        </w:tc>
        <w:tc>
          <w:tcPr>
            <w:tcW w:w="9018" w:type="dxa"/>
            <w:hideMark/>
          </w:tcPr>
          <w:p w:rsidR="009B2075" w:rsidRDefault="002927A8">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MFIO Return Code</w:t>
            </w:r>
          </w:p>
        </w:tc>
      </w:tr>
      <w:tr w:rsidR="009B2075" w:rsidTr="009B20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9B2075" w:rsidRDefault="009B2075">
            <w:pPr>
              <w:rPr>
                <w:rFonts w:asciiTheme="minorHAnsi" w:hAnsiTheme="minorHAnsi"/>
                <w:color w:val="auto"/>
              </w:rPr>
            </w:pPr>
            <w:r>
              <w:rPr>
                <w:rFonts w:asciiTheme="minorHAnsi" w:hAnsiTheme="minorHAnsi"/>
                <w:color w:val="auto"/>
              </w:rPr>
              <w:t>Body</w:t>
            </w:r>
          </w:p>
        </w:tc>
        <w:tc>
          <w:tcPr>
            <w:tcW w:w="9018" w:type="dxa"/>
            <w:hideMark/>
          </w:tcPr>
          <w:p w:rsidR="009B2075" w:rsidRDefault="001C2539">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 xml:space="preserve">XML objects of either </w:t>
            </w:r>
            <w:r w:rsidR="003325C8">
              <w:rPr>
                <w:rFonts w:asciiTheme="minorHAnsi" w:hAnsiTheme="minorHAnsi"/>
                <w:color w:val="auto"/>
              </w:rPr>
              <w:t xml:space="preserve">ARAC, </w:t>
            </w:r>
            <w:r>
              <w:rPr>
                <w:rFonts w:asciiTheme="minorHAnsi" w:hAnsiTheme="minorHAnsi"/>
                <w:color w:val="auto"/>
              </w:rPr>
              <w:t>XRAC, SRAC, or MUAC</w:t>
            </w:r>
          </w:p>
        </w:tc>
      </w:tr>
      <w:tr w:rsidR="009B2075" w:rsidTr="009B2075">
        <w:tc>
          <w:tcPr>
            <w:cnfStyle w:val="001000000000" w:firstRow="0" w:lastRow="0" w:firstColumn="1" w:lastColumn="0" w:oddVBand="0" w:evenVBand="0" w:oddHBand="0" w:evenHBand="0" w:firstRowFirstColumn="0" w:firstRowLastColumn="0" w:lastRowFirstColumn="0" w:lastRowLastColumn="0"/>
            <w:tcW w:w="1998" w:type="dxa"/>
            <w:hideMark/>
          </w:tcPr>
          <w:p w:rsidR="009B2075" w:rsidRDefault="009B2075">
            <w:pPr>
              <w:rPr>
                <w:rFonts w:asciiTheme="minorHAnsi" w:hAnsiTheme="minorHAnsi"/>
                <w:color w:val="auto"/>
              </w:rPr>
            </w:pPr>
            <w:r>
              <w:rPr>
                <w:rFonts w:asciiTheme="minorHAnsi" w:hAnsiTheme="minorHAnsi"/>
                <w:color w:val="auto"/>
              </w:rPr>
              <w:t>Description</w:t>
            </w:r>
          </w:p>
        </w:tc>
        <w:tc>
          <w:tcPr>
            <w:tcW w:w="9018" w:type="dxa"/>
            <w:hideMark/>
          </w:tcPr>
          <w:p w:rsidR="00655B18" w:rsidRDefault="00655B18">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The Ti-Token header is used to validate that the user has authentication to run this transaction.</w:t>
            </w:r>
          </w:p>
          <w:p w:rsidR="00655B18" w:rsidRDefault="00655B18">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p>
          <w:p w:rsidR="009B2075" w:rsidRDefault="001C2539">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This service is used to take in any policy support tables for history or processing and write it to the appropriate table within Titanium. This service does not go through Titanium to add the appropriate information</w:t>
            </w:r>
            <w:r w:rsidR="002927A8">
              <w:rPr>
                <w:rFonts w:asciiTheme="minorHAnsi" w:hAnsiTheme="minorHAnsi"/>
                <w:color w:val="auto"/>
              </w:rPr>
              <w:t xml:space="preserve"> and writes directly to the database tables using MFIO.</w:t>
            </w:r>
          </w:p>
          <w:p w:rsidR="002927A8" w:rsidRDefault="002927A8">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p>
          <w:p w:rsidR="002927A8" w:rsidRDefault="002927A8">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An MFIO return code is returned. An empty string (no return code) is returned upon success.</w:t>
            </w:r>
          </w:p>
        </w:tc>
      </w:tr>
    </w:tbl>
    <w:p w:rsidR="009B2075" w:rsidRDefault="009B2075" w:rsidP="00932547">
      <w:pPr>
        <w:rPr>
          <w:rFonts w:asciiTheme="minorHAnsi" w:hAnsiTheme="minorHAnsi"/>
          <w:color w:val="auto"/>
        </w:rPr>
      </w:pPr>
    </w:p>
    <w:p w:rsidR="00632BAD" w:rsidRDefault="00632BAD" w:rsidP="00632BAD">
      <w:pPr>
        <w:rPr>
          <w:rFonts w:asciiTheme="majorHAnsi" w:hAnsiTheme="majorHAnsi"/>
          <w:b/>
          <w:color w:val="auto"/>
          <w:sz w:val="24"/>
          <w:szCs w:val="24"/>
        </w:rPr>
      </w:pPr>
      <w:r>
        <w:rPr>
          <w:rFonts w:asciiTheme="majorHAnsi" w:hAnsiTheme="majorHAnsi"/>
          <w:b/>
          <w:color w:val="auto"/>
          <w:sz w:val="24"/>
          <w:szCs w:val="24"/>
        </w:rPr>
        <w:t>Tracking Start</w:t>
      </w:r>
    </w:p>
    <w:tbl>
      <w:tblPr>
        <w:tblStyle w:val="PlainTable4"/>
        <w:tblW w:w="0" w:type="auto"/>
        <w:tblInd w:w="0" w:type="dxa"/>
        <w:tblLook w:val="04A0" w:firstRow="1" w:lastRow="0" w:firstColumn="1" w:lastColumn="0" w:noHBand="0" w:noVBand="1"/>
      </w:tblPr>
      <w:tblGrid>
        <w:gridCol w:w="1998"/>
        <w:gridCol w:w="9018"/>
      </w:tblGrid>
      <w:tr w:rsidR="00632BAD" w:rsidTr="00F06A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Endpoint</w:t>
            </w:r>
          </w:p>
        </w:tc>
        <w:tc>
          <w:tcPr>
            <w:tcW w:w="9018" w:type="dxa"/>
            <w:hideMark/>
          </w:tcPr>
          <w:p w:rsidR="00632BAD" w:rsidRDefault="00632BAD" w:rsidP="00F06A2A">
            <w:pPr>
              <w:cnfStyle w:val="100000000000" w:firstRow="1" w:lastRow="0" w:firstColumn="0" w:lastColumn="0" w:oddVBand="0" w:evenVBand="0" w:oddHBand="0" w:evenHBand="0" w:firstRowFirstColumn="0" w:firstRowLastColumn="0" w:lastRowFirstColumn="0" w:lastRowLastColumn="0"/>
              <w:rPr>
                <w:rFonts w:asciiTheme="minorHAnsi" w:hAnsiTheme="minorHAnsi"/>
                <w:b w:val="0"/>
                <w:color w:val="auto"/>
              </w:rPr>
            </w:pPr>
            <w:r>
              <w:rPr>
                <w:rFonts w:asciiTheme="minorHAnsi" w:hAnsiTheme="minorHAnsi"/>
                <w:b w:val="0"/>
                <w:color w:val="auto"/>
              </w:rPr>
              <w:t>/Tools/</w:t>
            </w:r>
            <w:r>
              <w:rPr>
                <w:rFonts w:asciiTheme="minorHAnsi" w:hAnsiTheme="minorHAnsi"/>
                <w:b w:val="0"/>
                <w:color w:val="auto"/>
              </w:rPr>
              <w:t>Tracking</w:t>
            </w:r>
            <w:r>
              <w:rPr>
                <w:rFonts w:asciiTheme="minorHAnsi" w:hAnsiTheme="minorHAnsi"/>
                <w:b w:val="0"/>
                <w:color w:val="auto"/>
              </w:rPr>
              <w:t>/</w:t>
            </w:r>
            <w:r>
              <w:rPr>
                <w:rFonts w:asciiTheme="minorHAnsi" w:hAnsiTheme="minorHAnsi"/>
                <w:b w:val="0"/>
                <w:color w:val="auto"/>
              </w:rPr>
              <w:t>Start</w:t>
            </w:r>
          </w:p>
        </w:tc>
      </w:tr>
      <w:tr w:rsidR="00632BAD" w:rsidTr="00F0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Headers</w:t>
            </w:r>
          </w:p>
        </w:tc>
        <w:tc>
          <w:tcPr>
            <w:tcW w:w="9018" w:type="dxa"/>
            <w:hideMark/>
          </w:tcPr>
          <w:p w:rsidR="00632BAD" w:rsidRDefault="00632BAD" w:rsidP="00F06A2A">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632BAD" w:rsidTr="00F06A2A">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Type</w:t>
            </w:r>
          </w:p>
        </w:tc>
        <w:tc>
          <w:tcPr>
            <w:tcW w:w="9018" w:type="dxa"/>
            <w:hideMark/>
          </w:tcPr>
          <w:p w:rsidR="00632BAD" w:rsidRDefault="00632BAD" w:rsidP="00F06A2A">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GET</w:t>
            </w:r>
          </w:p>
        </w:tc>
      </w:tr>
      <w:tr w:rsidR="00632BAD" w:rsidTr="00F0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Query Parameters</w:t>
            </w:r>
          </w:p>
        </w:tc>
        <w:tc>
          <w:tcPr>
            <w:tcW w:w="9018" w:type="dxa"/>
            <w:hideMark/>
          </w:tcPr>
          <w:p w:rsidR="00632BAD" w:rsidRDefault="00632BAD" w:rsidP="00F06A2A">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Type – Either Policy, Client. Or Agent</w:t>
            </w:r>
          </w:p>
          <w:p w:rsidR="00632BAD" w:rsidRDefault="00632BAD" w:rsidP="00F06A2A">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Queue – The expected queue size as an int</w:t>
            </w:r>
          </w:p>
        </w:tc>
      </w:tr>
      <w:tr w:rsidR="00632BAD" w:rsidTr="00F06A2A">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Path Parameters</w:t>
            </w:r>
          </w:p>
        </w:tc>
        <w:tc>
          <w:tcPr>
            <w:tcW w:w="9018" w:type="dxa"/>
            <w:hideMark/>
          </w:tcPr>
          <w:p w:rsidR="00632BAD" w:rsidRDefault="00632BAD" w:rsidP="00F06A2A">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632BAD" w:rsidTr="00F0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Accepts</w:t>
            </w:r>
          </w:p>
        </w:tc>
        <w:tc>
          <w:tcPr>
            <w:tcW w:w="9018" w:type="dxa"/>
            <w:hideMark/>
          </w:tcPr>
          <w:p w:rsidR="00632BAD" w:rsidRDefault="00632BAD" w:rsidP="00F06A2A">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632BAD" w:rsidTr="00F06A2A">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Returns</w:t>
            </w:r>
          </w:p>
        </w:tc>
        <w:tc>
          <w:tcPr>
            <w:tcW w:w="9018" w:type="dxa"/>
            <w:hideMark/>
          </w:tcPr>
          <w:p w:rsidR="00632BAD" w:rsidRDefault="00632BAD" w:rsidP="00F06A2A">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JSON</w:t>
            </w:r>
          </w:p>
        </w:tc>
      </w:tr>
      <w:tr w:rsidR="00632BAD" w:rsidTr="00F0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Body</w:t>
            </w:r>
          </w:p>
        </w:tc>
        <w:tc>
          <w:tcPr>
            <w:tcW w:w="9018" w:type="dxa"/>
            <w:hideMark/>
          </w:tcPr>
          <w:p w:rsidR="00632BAD" w:rsidRDefault="00632BAD" w:rsidP="00F06A2A">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632BAD" w:rsidTr="00F06A2A">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Description</w:t>
            </w:r>
          </w:p>
        </w:tc>
        <w:tc>
          <w:tcPr>
            <w:tcW w:w="9018" w:type="dxa"/>
            <w:hideMark/>
          </w:tcPr>
          <w:p w:rsidR="00632BAD" w:rsidRDefault="00632BAD" w:rsidP="00F06A2A">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 xml:space="preserve">This service will write create a starting point for a conversion process and write a ConversionStatus object to </w:t>
            </w:r>
            <w:r w:rsidR="002836F4">
              <w:rPr>
                <w:rFonts w:asciiTheme="minorHAnsi" w:hAnsiTheme="minorHAnsi"/>
                <w:color w:val="auto"/>
              </w:rPr>
              <w:t>ADBTSAC</w:t>
            </w:r>
            <w:r>
              <w:rPr>
                <w:rFonts w:asciiTheme="minorHAnsi" w:hAnsiTheme="minorHAnsi"/>
                <w:color w:val="auto"/>
              </w:rPr>
              <w:t xml:space="preserve"> for Titanium, the conversion process, and the conversion tool to update status’ about any entity being processed.</w:t>
            </w:r>
          </w:p>
          <w:p w:rsidR="00632BAD" w:rsidRDefault="00632BAD" w:rsidP="00F06A2A">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p>
          <w:p w:rsidR="00632BAD" w:rsidRDefault="00632BAD" w:rsidP="00F06A2A">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Note that once started a next request to start will return failure stating that a conversion is already in progress. You must call the stop tracking to start another conversion process.</w:t>
            </w:r>
          </w:p>
        </w:tc>
      </w:tr>
    </w:tbl>
    <w:p w:rsidR="00632BAD" w:rsidRDefault="00632BAD" w:rsidP="00932547">
      <w:pPr>
        <w:rPr>
          <w:rFonts w:asciiTheme="minorHAnsi" w:hAnsiTheme="minorHAnsi"/>
          <w:color w:val="auto"/>
        </w:rPr>
      </w:pPr>
    </w:p>
    <w:p w:rsidR="00632BAD" w:rsidRDefault="00632BAD" w:rsidP="00632BAD">
      <w:pPr>
        <w:rPr>
          <w:rFonts w:asciiTheme="majorHAnsi" w:hAnsiTheme="majorHAnsi"/>
          <w:b/>
          <w:color w:val="auto"/>
          <w:sz w:val="24"/>
          <w:szCs w:val="24"/>
        </w:rPr>
      </w:pPr>
      <w:r>
        <w:rPr>
          <w:rFonts w:asciiTheme="majorHAnsi" w:hAnsiTheme="majorHAnsi"/>
          <w:b/>
          <w:color w:val="auto"/>
          <w:sz w:val="24"/>
          <w:szCs w:val="24"/>
        </w:rPr>
        <w:t xml:space="preserve">Tracking </w:t>
      </w:r>
      <w:r>
        <w:rPr>
          <w:rFonts w:asciiTheme="majorHAnsi" w:hAnsiTheme="majorHAnsi"/>
          <w:b/>
          <w:color w:val="auto"/>
          <w:sz w:val="24"/>
          <w:szCs w:val="24"/>
        </w:rPr>
        <w:t>Stop</w:t>
      </w:r>
    </w:p>
    <w:tbl>
      <w:tblPr>
        <w:tblStyle w:val="PlainTable4"/>
        <w:tblW w:w="0" w:type="auto"/>
        <w:tblInd w:w="0" w:type="dxa"/>
        <w:tblLook w:val="04A0" w:firstRow="1" w:lastRow="0" w:firstColumn="1" w:lastColumn="0" w:noHBand="0" w:noVBand="1"/>
      </w:tblPr>
      <w:tblGrid>
        <w:gridCol w:w="1998"/>
        <w:gridCol w:w="9018"/>
      </w:tblGrid>
      <w:tr w:rsidR="00632BAD" w:rsidTr="00F06A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Endpoint</w:t>
            </w:r>
          </w:p>
        </w:tc>
        <w:tc>
          <w:tcPr>
            <w:tcW w:w="9018" w:type="dxa"/>
            <w:hideMark/>
          </w:tcPr>
          <w:p w:rsidR="00632BAD" w:rsidRDefault="00632BAD" w:rsidP="00F06A2A">
            <w:pPr>
              <w:cnfStyle w:val="100000000000" w:firstRow="1" w:lastRow="0" w:firstColumn="0" w:lastColumn="0" w:oddVBand="0" w:evenVBand="0" w:oddHBand="0" w:evenHBand="0" w:firstRowFirstColumn="0" w:firstRowLastColumn="0" w:lastRowFirstColumn="0" w:lastRowLastColumn="0"/>
              <w:rPr>
                <w:rFonts w:asciiTheme="minorHAnsi" w:hAnsiTheme="minorHAnsi"/>
                <w:b w:val="0"/>
                <w:color w:val="auto"/>
              </w:rPr>
            </w:pPr>
            <w:r>
              <w:rPr>
                <w:rFonts w:asciiTheme="minorHAnsi" w:hAnsiTheme="minorHAnsi"/>
                <w:b w:val="0"/>
                <w:color w:val="auto"/>
              </w:rPr>
              <w:t>/Tools/Tracking/</w:t>
            </w:r>
            <w:r>
              <w:rPr>
                <w:rFonts w:asciiTheme="minorHAnsi" w:hAnsiTheme="minorHAnsi"/>
                <w:b w:val="0"/>
                <w:color w:val="auto"/>
              </w:rPr>
              <w:t>Stop</w:t>
            </w:r>
          </w:p>
        </w:tc>
      </w:tr>
      <w:tr w:rsidR="00632BAD" w:rsidTr="00F0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Headers</w:t>
            </w:r>
          </w:p>
        </w:tc>
        <w:tc>
          <w:tcPr>
            <w:tcW w:w="9018" w:type="dxa"/>
            <w:hideMark/>
          </w:tcPr>
          <w:p w:rsidR="00632BAD" w:rsidRDefault="00632BAD" w:rsidP="00F06A2A">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632BAD" w:rsidTr="00F06A2A">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Type</w:t>
            </w:r>
          </w:p>
        </w:tc>
        <w:tc>
          <w:tcPr>
            <w:tcW w:w="9018" w:type="dxa"/>
            <w:hideMark/>
          </w:tcPr>
          <w:p w:rsidR="00632BAD" w:rsidRDefault="00632BAD" w:rsidP="00F06A2A">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GET</w:t>
            </w:r>
          </w:p>
        </w:tc>
      </w:tr>
      <w:tr w:rsidR="00632BAD" w:rsidTr="00F0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Query Parameters</w:t>
            </w:r>
          </w:p>
        </w:tc>
        <w:tc>
          <w:tcPr>
            <w:tcW w:w="9018" w:type="dxa"/>
            <w:hideMark/>
          </w:tcPr>
          <w:p w:rsidR="00632BAD" w:rsidRDefault="00632BAD" w:rsidP="00F06A2A">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632BAD" w:rsidTr="00F06A2A">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lastRenderedPageBreak/>
              <w:t>Path Parameters</w:t>
            </w:r>
          </w:p>
        </w:tc>
        <w:tc>
          <w:tcPr>
            <w:tcW w:w="9018" w:type="dxa"/>
            <w:hideMark/>
          </w:tcPr>
          <w:p w:rsidR="00632BAD" w:rsidRDefault="00632BAD" w:rsidP="00F06A2A">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632BAD" w:rsidTr="00F0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Accepts</w:t>
            </w:r>
          </w:p>
        </w:tc>
        <w:tc>
          <w:tcPr>
            <w:tcW w:w="9018" w:type="dxa"/>
            <w:hideMark/>
          </w:tcPr>
          <w:p w:rsidR="00632BAD" w:rsidRDefault="00632BAD" w:rsidP="00F06A2A">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632BAD" w:rsidTr="00F06A2A">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Returns</w:t>
            </w:r>
          </w:p>
        </w:tc>
        <w:tc>
          <w:tcPr>
            <w:tcW w:w="9018" w:type="dxa"/>
            <w:hideMark/>
          </w:tcPr>
          <w:p w:rsidR="00632BAD" w:rsidRDefault="00632BAD" w:rsidP="00F06A2A">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JSON</w:t>
            </w:r>
          </w:p>
        </w:tc>
      </w:tr>
      <w:tr w:rsidR="00632BAD" w:rsidTr="00F0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Body</w:t>
            </w:r>
          </w:p>
        </w:tc>
        <w:tc>
          <w:tcPr>
            <w:tcW w:w="9018" w:type="dxa"/>
            <w:hideMark/>
          </w:tcPr>
          <w:p w:rsidR="00632BAD" w:rsidRDefault="00632BAD" w:rsidP="00F06A2A">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632BAD" w:rsidTr="00F06A2A">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Description</w:t>
            </w:r>
          </w:p>
        </w:tc>
        <w:tc>
          <w:tcPr>
            <w:tcW w:w="9018" w:type="dxa"/>
            <w:hideMark/>
          </w:tcPr>
          <w:p w:rsidR="00632BAD" w:rsidRDefault="00632BAD" w:rsidP="00632BAD">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 xml:space="preserve">This service will </w:t>
            </w:r>
            <w:r>
              <w:rPr>
                <w:rFonts w:asciiTheme="minorHAnsi" w:hAnsiTheme="minorHAnsi"/>
                <w:color w:val="auto"/>
              </w:rPr>
              <w:t>end the current conversion process creating the final timestamp and calculating elapsed time for the transaction.</w:t>
            </w:r>
          </w:p>
          <w:p w:rsidR="00632BAD" w:rsidRDefault="00632BAD" w:rsidP="00632BAD">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p>
          <w:p w:rsidR="00632BAD" w:rsidRDefault="00632BAD" w:rsidP="00632BAD">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Once run, another conversion process can be started using the tracking start service.</w:t>
            </w:r>
          </w:p>
          <w:p w:rsidR="00632BAD" w:rsidRDefault="00632BAD" w:rsidP="00632BAD">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p>
          <w:p w:rsidR="00632BAD" w:rsidRDefault="00632BAD" w:rsidP="00632BAD">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It is worth noting that if an error occurs at the server level (deadlocks or server shutdowns) this must be run in order to start the next conversion process.</w:t>
            </w:r>
          </w:p>
        </w:tc>
      </w:tr>
    </w:tbl>
    <w:p w:rsidR="00632BAD" w:rsidRDefault="00632BAD" w:rsidP="00932547">
      <w:pPr>
        <w:rPr>
          <w:rFonts w:asciiTheme="minorHAnsi" w:hAnsiTheme="minorHAnsi"/>
          <w:color w:val="auto"/>
        </w:rPr>
      </w:pPr>
    </w:p>
    <w:p w:rsidR="00632BAD" w:rsidRDefault="00632BAD" w:rsidP="00632BAD">
      <w:pPr>
        <w:rPr>
          <w:rFonts w:asciiTheme="majorHAnsi" w:hAnsiTheme="majorHAnsi"/>
          <w:b/>
          <w:color w:val="auto"/>
          <w:sz w:val="24"/>
          <w:szCs w:val="24"/>
        </w:rPr>
      </w:pPr>
      <w:r>
        <w:rPr>
          <w:rFonts w:asciiTheme="majorHAnsi" w:hAnsiTheme="majorHAnsi"/>
          <w:b/>
          <w:color w:val="auto"/>
          <w:sz w:val="24"/>
          <w:szCs w:val="24"/>
        </w:rPr>
        <w:t xml:space="preserve">Tracking </w:t>
      </w:r>
      <w:r>
        <w:rPr>
          <w:rFonts w:asciiTheme="majorHAnsi" w:hAnsiTheme="majorHAnsi"/>
          <w:b/>
          <w:color w:val="auto"/>
          <w:sz w:val="24"/>
          <w:szCs w:val="24"/>
        </w:rPr>
        <w:t>Status</w:t>
      </w:r>
    </w:p>
    <w:tbl>
      <w:tblPr>
        <w:tblStyle w:val="PlainTable4"/>
        <w:tblW w:w="0" w:type="auto"/>
        <w:tblInd w:w="0" w:type="dxa"/>
        <w:tblLook w:val="04A0" w:firstRow="1" w:lastRow="0" w:firstColumn="1" w:lastColumn="0" w:noHBand="0" w:noVBand="1"/>
      </w:tblPr>
      <w:tblGrid>
        <w:gridCol w:w="1998"/>
        <w:gridCol w:w="9018"/>
      </w:tblGrid>
      <w:tr w:rsidR="00632BAD" w:rsidTr="00F06A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Endpoint</w:t>
            </w:r>
          </w:p>
        </w:tc>
        <w:tc>
          <w:tcPr>
            <w:tcW w:w="9018" w:type="dxa"/>
            <w:hideMark/>
          </w:tcPr>
          <w:p w:rsidR="00632BAD" w:rsidRDefault="00632BAD" w:rsidP="00F06A2A">
            <w:pPr>
              <w:cnfStyle w:val="100000000000" w:firstRow="1" w:lastRow="0" w:firstColumn="0" w:lastColumn="0" w:oddVBand="0" w:evenVBand="0" w:oddHBand="0" w:evenHBand="0" w:firstRowFirstColumn="0" w:firstRowLastColumn="0" w:lastRowFirstColumn="0" w:lastRowLastColumn="0"/>
              <w:rPr>
                <w:rFonts w:asciiTheme="minorHAnsi" w:hAnsiTheme="minorHAnsi"/>
                <w:b w:val="0"/>
                <w:color w:val="auto"/>
              </w:rPr>
            </w:pPr>
            <w:r>
              <w:rPr>
                <w:rFonts w:asciiTheme="minorHAnsi" w:hAnsiTheme="minorHAnsi"/>
                <w:b w:val="0"/>
                <w:color w:val="auto"/>
              </w:rPr>
              <w:t>/Tools/Tracking/</w:t>
            </w:r>
            <w:r>
              <w:rPr>
                <w:rFonts w:asciiTheme="minorHAnsi" w:hAnsiTheme="minorHAnsi"/>
                <w:b w:val="0"/>
                <w:color w:val="auto"/>
              </w:rPr>
              <w:t>Status</w:t>
            </w:r>
          </w:p>
        </w:tc>
      </w:tr>
      <w:tr w:rsidR="00632BAD" w:rsidTr="00F0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Headers</w:t>
            </w:r>
          </w:p>
        </w:tc>
        <w:tc>
          <w:tcPr>
            <w:tcW w:w="9018" w:type="dxa"/>
            <w:hideMark/>
          </w:tcPr>
          <w:p w:rsidR="00632BAD" w:rsidRDefault="00632BAD" w:rsidP="00F06A2A">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632BAD" w:rsidTr="00F06A2A">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Type</w:t>
            </w:r>
          </w:p>
        </w:tc>
        <w:tc>
          <w:tcPr>
            <w:tcW w:w="9018" w:type="dxa"/>
            <w:hideMark/>
          </w:tcPr>
          <w:p w:rsidR="00632BAD" w:rsidRDefault="00632BAD" w:rsidP="00F06A2A">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GET</w:t>
            </w:r>
          </w:p>
        </w:tc>
      </w:tr>
      <w:tr w:rsidR="00632BAD" w:rsidTr="00F0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Query Parameters</w:t>
            </w:r>
          </w:p>
        </w:tc>
        <w:tc>
          <w:tcPr>
            <w:tcW w:w="9018" w:type="dxa"/>
            <w:hideMark/>
          </w:tcPr>
          <w:p w:rsidR="00632BAD" w:rsidRDefault="00632BAD" w:rsidP="00F06A2A">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632BAD" w:rsidTr="00F06A2A">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Path Parameters</w:t>
            </w:r>
          </w:p>
        </w:tc>
        <w:tc>
          <w:tcPr>
            <w:tcW w:w="9018" w:type="dxa"/>
            <w:hideMark/>
          </w:tcPr>
          <w:p w:rsidR="00632BAD" w:rsidRDefault="00632BAD" w:rsidP="00F06A2A">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632BAD" w:rsidTr="00F0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Accepts</w:t>
            </w:r>
          </w:p>
        </w:tc>
        <w:tc>
          <w:tcPr>
            <w:tcW w:w="9018" w:type="dxa"/>
            <w:hideMark/>
          </w:tcPr>
          <w:p w:rsidR="00632BAD" w:rsidRDefault="00632BAD" w:rsidP="00F06A2A">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632BAD" w:rsidTr="00F06A2A">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Returns</w:t>
            </w:r>
          </w:p>
        </w:tc>
        <w:tc>
          <w:tcPr>
            <w:tcW w:w="9018" w:type="dxa"/>
            <w:hideMark/>
          </w:tcPr>
          <w:p w:rsidR="00632BAD" w:rsidRDefault="00632BAD" w:rsidP="00F06A2A">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JSON</w:t>
            </w:r>
          </w:p>
        </w:tc>
      </w:tr>
      <w:tr w:rsidR="00632BAD" w:rsidTr="00F0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Body</w:t>
            </w:r>
          </w:p>
        </w:tc>
        <w:tc>
          <w:tcPr>
            <w:tcW w:w="9018" w:type="dxa"/>
            <w:hideMark/>
          </w:tcPr>
          <w:p w:rsidR="00632BAD" w:rsidRDefault="00632BAD" w:rsidP="00F06A2A">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632BAD" w:rsidTr="00F06A2A">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Description</w:t>
            </w:r>
          </w:p>
        </w:tc>
        <w:tc>
          <w:tcPr>
            <w:tcW w:w="9018" w:type="dxa"/>
            <w:hideMark/>
          </w:tcPr>
          <w:p w:rsidR="00632BAD" w:rsidRDefault="00632BAD" w:rsidP="00F06A2A">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 xml:space="preserve">This service will return the ConversionStatus object written to and updated in </w:t>
            </w:r>
            <w:r w:rsidR="002836F4">
              <w:rPr>
                <w:rFonts w:asciiTheme="minorHAnsi" w:hAnsiTheme="minorHAnsi"/>
                <w:color w:val="auto"/>
              </w:rPr>
              <w:t>ADBTSAC</w:t>
            </w:r>
            <w:r>
              <w:rPr>
                <w:rFonts w:asciiTheme="minorHAnsi" w:hAnsiTheme="minorHAnsi"/>
                <w:color w:val="auto"/>
              </w:rPr>
              <w:t xml:space="preserve"> during the conversion process. This queue is used to determine when the conversion process is complete.</w:t>
            </w:r>
          </w:p>
        </w:tc>
      </w:tr>
    </w:tbl>
    <w:p w:rsidR="00632BAD" w:rsidRDefault="00632BAD" w:rsidP="00932547">
      <w:pPr>
        <w:rPr>
          <w:rFonts w:asciiTheme="minorHAnsi" w:hAnsiTheme="minorHAnsi"/>
          <w:color w:val="auto"/>
        </w:rPr>
      </w:pPr>
    </w:p>
    <w:p w:rsidR="00632BAD" w:rsidRDefault="00632BAD" w:rsidP="00632BAD">
      <w:pPr>
        <w:rPr>
          <w:rFonts w:asciiTheme="majorHAnsi" w:hAnsiTheme="majorHAnsi"/>
          <w:b/>
          <w:color w:val="auto"/>
          <w:sz w:val="24"/>
          <w:szCs w:val="24"/>
        </w:rPr>
      </w:pPr>
      <w:r>
        <w:rPr>
          <w:rFonts w:asciiTheme="majorHAnsi" w:hAnsiTheme="majorHAnsi"/>
          <w:b/>
          <w:color w:val="auto"/>
          <w:sz w:val="24"/>
          <w:szCs w:val="24"/>
        </w:rPr>
        <w:t>Conversion Results</w:t>
      </w:r>
    </w:p>
    <w:tbl>
      <w:tblPr>
        <w:tblStyle w:val="PlainTable4"/>
        <w:tblW w:w="0" w:type="auto"/>
        <w:tblInd w:w="0" w:type="dxa"/>
        <w:tblLook w:val="04A0" w:firstRow="1" w:lastRow="0" w:firstColumn="1" w:lastColumn="0" w:noHBand="0" w:noVBand="1"/>
      </w:tblPr>
      <w:tblGrid>
        <w:gridCol w:w="1998"/>
        <w:gridCol w:w="9018"/>
      </w:tblGrid>
      <w:tr w:rsidR="00632BAD" w:rsidTr="00F06A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Endpoint</w:t>
            </w:r>
          </w:p>
        </w:tc>
        <w:tc>
          <w:tcPr>
            <w:tcW w:w="9018" w:type="dxa"/>
            <w:hideMark/>
          </w:tcPr>
          <w:p w:rsidR="00632BAD" w:rsidRDefault="00632BAD" w:rsidP="00F06A2A">
            <w:pPr>
              <w:cnfStyle w:val="100000000000" w:firstRow="1" w:lastRow="0" w:firstColumn="0" w:lastColumn="0" w:oddVBand="0" w:evenVBand="0" w:oddHBand="0" w:evenHBand="0" w:firstRowFirstColumn="0" w:firstRowLastColumn="0" w:lastRowFirstColumn="0" w:lastRowLastColumn="0"/>
              <w:rPr>
                <w:rFonts w:asciiTheme="minorHAnsi" w:hAnsiTheme="minorHAnsi"/>
                <w:b w:val="0"/>
                <w:color w:val="auto"/>
              </w:rPr>
            </w:pPr>
            <w:r>
              <w:rPr>
                <w:rFonts w:asciiTheme="minorHAnsi" w:hAnsiTheme="minorHAnsi"/>
                <w:b w:val="0"/>
                <w:color w:val="auto"/>
              </w:rPr>
              <w:t>/Tools/</w:t>
            </w:r>
            <w:r>
              <w:rPr>
                <w:rFonts w:asciiTheme="minorHAnsi" w:hAnsiTheme="minorHAnsi"/>
                <w:b w:val="0"/>
                <w:color w:val="auto"/>
              </w:rPr>
              <w:t>Build/Results</w:t>
            </w:r>
          </w:p>
        </w:tc>
      </w:tr>
      <w:tr w:rsidR="00632BAD" w:rsidTr="00F0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Headers</w:t>
            </w:r>
          </w:p>
        </w:tc>
        <w:tc>
          <w:tcPr>
            <w:tcW w:w="9018" w:type="dxa"/>
            <w:hideMark/>
          </w:tcPr>
          <w:p w:rsidR="00632BAD" w:rsidRDefault="00632BAD" w:rsidP="00F06A2A">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632BAD" w:rsidTr="00F06A2A">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Type</w:t>
            </w:r>
          </w:p>
        </w:tc>
        <w:tc>
          <w:tcPr>
            <w:tcW w:w="9018" w:type="dxa"/>
            <w:hideMark/>
          </w:tcPr>
          <w:p w:rsidR="00632BAD" w:rsidRDefault="00632BAD" w:rsidP="00F06A2A">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GET</w:t>
            </w:r>
          </w:p>
        </w:tc>
      </w:tr>
      <w:tr w:rsidR="00632BAD" w:rsidTr="00F0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Query Parameters</w:t>
            </w:r>
          </w:p>
        </w:tc>
        <w:tc>
          <w:tcPr>
            <w:tcW w:w="9018" w:type="dxa"/>
            <w:hideMark/>
          </w:tcPr>
          <w:p w:rsidR="00632BAD" w:rsidRDefault="00632BAD" w:rsidP="00F06A2A">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632BAD" w:rsidTr="00F06A2A">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Path Parameters</w:t>
            </w:r>
          </w:p>
        </w:tc>
        <w:tc>
          <w:tcPr>
            <w:tcW w:w="9018" w:type="dxa"/>
            <w:hideMark/>
          </w:tcPr>
          <w:p w:rsidR="00632BAD" w:rsidRDefault="00632BAD" w:rsidP="00F06A2A">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632BAD" w:rsidTr="00F0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Accepts</w:t>
            </w:r>
          </w:p>
        </w:tc>
        <w:tc>
          <w:tcPr>
            <w:tcW w:w="9018" w:type="dxa"/>
            <w:hideMark/>
          </w:tcPr>
          <w:p w:rsidR="00632BAD" w:rsidRDefault="00632BAD" w:rsidP="00F06A2A">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632BAD" w:rsidTr="00F06A2A">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Returns</w:t>
            </w:r>
          </w:p>
        </w:tc>
        <w:tc>
          <w:tcPr>
            <w:tcW w:w="9018" w:type="dxa"/>
            <w:hideMark/>
          </w:tcPr>
          <w:p w:rsidR="00632BAD" w:rsidRDefault="00632BAD" w:rsidP="00F06A2A">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JSON</w:t>
            </w:r>
          </w:p>
        </w:tc>
      </w:tr>
      <w:tr w:rsidR="00632BAD" w:rsidTr="00F0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Body</w:t>
            </w:r>
          </w:p>
        </w:tc>
        <w:tc>
          <w:tcPr>
            <w:tcW w:w="9018" w:type="dxa"/>
            <w:hideMark/>
          </w:tcPr>
          <w:p w:rsidR="00632BAD" w:rsidRDefault="00632BAD" w:rsidP="00F06A2A">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632BAD" w:rsidTr="00F06A2A">
        <w:tc>
          <w:tcPr>
            <w:cnfStyle w:val="001000000000" w:firstRow="0" w:lastRow="0" w:firstColumn="1" w:lastColumn="0" w:oddVBand="0" w:evenVBand="0" w:oddHBand="0" w:evenHBand="0" w:firstRowFirstColumn="0" w:firstRowLastColumn="0" w:lastRowFirstColumn="0" w:lastRowLastColumn="0"/>
            <w:tcW w:w="1998" w:type="dxa"/>
            <w:hideMark/>
          </w:tcPr>
          <w:p w:rsidR="00632BAD" w:rsidRDefault="00632BAD" w:rsidP="00F06A2A">
            <w:pPr>
              <w:rPr>
                <w:rFonts w:asciiTheme="minorHAnsi" w:hAnsiTheme="minorHAnsi"/>
                <w:color w:val="auto"/>
              </w:rPr>
            </w:pPr>
            <w:r>
              <w:rPr>
                <w:rFonts w:asciiTheme="minorHAnsi" w:hAnsiTheme="minorHAnsi"/>
                <w:color w:val="auto"/>
              </w:rPr>
              <w:t>Description</w:t>
            </w:r>
          </w:p>
        </w:tc>
        <w:tc>
          <w:tcPr>
            <w:tcW w:w="9018" w:type="dxa"/>
            <w:hideMark/>
          </w:tcPr>
          <w:p w:rsidR="00632BAD" w:rsidRDefault="00632BAD" w:rsidP="00F06A2A">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This service will read the Co</w:t>
            </w:r>
            <w:r w:rsidR="002836F4">
              <w:rPr>
                <w:rFonts w:asciiTheme="minorHAnsi" w:hAnsiTheme="minorHAnsi"/>
                <w:color w:val="auto"/>
              </w:rPr>
              <w:t>nversionStatus object from ADBTSAC, ensure that the conversion is complete, and then read all records written to ADBHSAC during the last conversion time and build a JSON object of multiple HSAC_HistoricalTransaction objects.</w:t>
            </w:r>
          </w:p>
        </w:tc>
      </w:tr>
    </w:tbl>
    <w:p w:rsidR="00632BAD" w:rsidRDefault="00632BAD" w:rsidP="00932547">
      <w:pPr>
        <w:rPr>
          <w:rFonts w:asciiTheme="minorHAnsi" w:hAnsiTheme="minorHAnsi"/>
          <w:color w:val="auto"/>
        </w:rPr>
      </w:pPr>
    </w:p>
    <w:p w:rsidR="002836F4" w:rsidRDefault="002836F4" w:rsidP="002836F4">
      <w:pPr>
        <w:rPr>
          <w:rFonts w:asciiTheme="majorHAnsi" w:hAnsiTheme="majorHAnsi"/>
          <w:b/>
          <w:color w:val="auto"/>
          <w:sz w:val="24"/>
          <w:szCs w:val="24"/>
        </w:rPr>
      </w:pPr>
      <w:r>
        <w:rPr>
          <w:rFonts w:asciiTheme="majorHAnsi" w:hAnsiTheme="majorHAnsi"/>
          <w:b/>
          <w:color w:val="auto"/>
          <w:sz w:val="24"/>
          <w:szCs w:val="24"/>
        </w:rPr>
        <w:t>Failed Entityes</w:t>
      </w:r>
    </w:p>
    <w:tbl>
      <w:tblPr>
        <w:tblStyle w:val="PlainTable4"/>
        <w:tblW w:w="0" w:type="auto"/>
        <w:tblInd w:w="0" w:type="dxa"/>
        <w:tblLook w:val="04A0" w:firstRow="1" w:lastRow="0" w:firstColumn="1" w:lastColumn="0" w:noHBand="0" w:noVBand="1"/>
      </w:tblPr>
      <w:tblGrid>
        <w:gridCol w:w="1998"/>
        <w:gridCol w:w="9018"/>
      </w:tblGrid>
      <w:tr w:rsidR="002836F4" w:rsidTr="00F06A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2836F4" w:rsidRDefault="002836F4" w:rsidP="00F06A2A">
            <w:pPr>
              <w:rPr>
                <w:rFonts w:asciiTheme="minorHAnsi" w:hAnsiTheme="minorHAnsi"/>
                <w:color w:val="auto"/>
              </w:rPr>
            </w:pPr>
            <w:r>
              <w:rPr>
                <w:rFonts w:asciiTheme="minorHAnsi" w:hAnsiTheme="minorHAnsi"/>
                <w:color w:val="auto"/>
              </w:rPr>
              <w:t>Endpoint</w:t>
            </w:r>
          </w:p>
        </w:tc>
        <w:tc>
          <w:tcPr>
            <w:tcW w:w="9018" w:type="dxa"/>
            <w:hideMark/>
          </w:tcPr>
          <w:p w:rsidR="002836F4" w:rsidRDefault="002836F4" w:rsidP="00F06A2A">
            <w:pPr>
              <w:cnfStyle w:val="100000000000" w:firstRow="1" w:lastRow="0" w:firstColumn="0" w:lastColumn="0" w:oddVBand="0" w:evenVBand="0" w:oddHBand="0" w:evenHBand="0" w:firstRowFirstColumn="0" w:firstRowLastColumn="0" w:lastRowFirstColumn="0" w:lastRowLastColumn="0"/>
              <w:rPr>
                <w:rFonts w:asciiTheme="minorHAnsi" w:hAnsiTheme="minorHAnsi"/>
                <w:b w:val="0"/>
                <w:color w:val="auto"/>
              </w:rPr>
            </w:pPr>
            <w:r>
              <w:rPr>
                <w:rFonts w:asciiTheme="minorHAnsi" w:hAnsiTheme="minorHAnsi"/>
                <w:b w:val="0"/>
                <w:color w:val="auto"/>
              </w:rPr>
              <w:t>/Tools/</w:t>
            </w:r>
            <w:r>
              <w:rPr>
                <w:rFonts w:asciiTheme="minorHAnsi" w:hAnsiTheme="minorHAnsi"/>
                <w:b w:val="0"/>
                <w:color w:val="auto"/>
              </w:rPr>
              <w:t>Send</w:t>
            </w:r>
            <w:r>
              <w:rPr>
                <w:rFonts w:asciiTheme="minorHAnsi" w:hAnsiTheme="minorHAnsi"/>
                <w:b w:val="0"/>
                <w:color w:val="auto"/>
              </w:rPr>
              <w:t>/</w:t>
            </w:r>
            <w:r>
              <w:rPr>
                <w:rFonts w:asciiTheme="minorHAnsi" w:hAnsiTheme="minorHAnsi"/>
                <w:b w:val="0"/>
                <w:color w:val="auto"/>
              </w:rPr>
              <w:t>Fail</w:t>
            </w:r>
          </w:p>
        </w:tc>
      </w:tr>
      <w:tr w:rsidR="002836F4" w:rsidTr="00F0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2836F4" w:rsidRDefault="002836F4" w:rsidP="00F06A2A">
            <w:pPr>
              <w:rPr>
                <w:rFonts w:asciiTheme="minorHAnsi" w:hAnsiTheme="minorHAnsi"/>
                <w:color w:val="auto"/>
              </w:rPr>
            </w:pPr>
            <w:r>
              <w:rPr>
                <w:rFonts w:asciiTheme="minorHAnsi" w:hAnsiTheme="minorHAnsi"/>
                <w:color w:val="auto"/>
              </w:rPr>
              <w:t>Headers</w:t>
            </w:r>
          </w:p>
        </w:tc>
        <w:tc>
          <w:tcPr>
            <w:tcW w:w="9018" w:type="dxa"/>
            <w:hideMark/>
          </w:tcPr>
          <w:p w:rsidR="002836F4" w:rsidRDefault="002836F4" w:rsidP="00F06A2A">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2836F4" w:rsidTr="00F06A2A">
        <w:tc>
          <w:tcPr>
            <w:cnfStyle w:val="001000000000" w:firstRow="0" w:lastRow="0" w:firstColumn="1" w:lastColumn="0" w:oddVBand="0" w:evenVBand="0" w:oddHBand="0" w:evenHBand="0" w:firstRowFirstColumn="0" w:firstRowLastColumn="0" w:lastRowFirstColumn="0" w:lastRowLastColumn="0"/>
            <w:tcW w:w="1998" w:type="dxa"/>
            <w:hideMark/>
          </w:tcPr>
          <w:p w:rsidR="002836F4" w:rsidRDefault="002836F4" w:rsidP="00F06A2A">
            <w:pPr>
              <w:rPr>
                <w:rFonts w:asciiTheme="minorHAnsi" w:hAnsiTheme="minorHAnsi"/>
                <w:color w:val="auto"/>
              </w:rPr>
            </w:pPr>
            <w:r>
              <w:rPr>
                <w:rFonts w:asciiTheme="minorHAnsi" w:hAnsiTheme="minorHAnsi"/>
                <w:color w:val="auto"/>
              </w:rPr>
              <w:t>Type</w:t>
            </w:r>
          </w:p>
        </w:tc>
        <w:tc>
          <w:tcPr>
            <w:tcW w:w="9018" w:type="dxa"/>
            <w:hideMark/>
          </w:tcPr>
          <w:p w:rsidR="002836F4" w:rsidRDefault="002836F4" w:rsidP="00F06A2A">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PUT</w:t>
            </w:r>
          </w:p>
        </w:tc>
      </w:tr>
      <w:tr w:rsidR="002836F4" w:rsidTr="00F0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2836F4" w:rsidRDefault="002836F4" w:rsidP="00F06A2A">
            <w:pPr>
              <w:rPr>
                <w:rFonts w:asciiTheme="minorHAnsi" w:hAnsiTheme="minorHAnsi"/>
                <w:color w:val="auto"/>
              </w:rPr>
            </w:pPr>
            <w:r>
              <w:rPr>
                <w:rFonts w:asciiTheme="minorHAnsi" w:hAnsiTheme="minorHAnsi"/>
                <w:color w:val="auto"/>
              </w:rPr>
              <w:t>Query Parameters</w:t>
            </w:r>
          </w:p>
        </w:tc>
        <w:tc>
          <w:tcPr>
            <w:tcW w:w="9018" w:type="dxa"/>
            <w:hideMark/>
          </w:tcPr>
          <w:p w:rsidR="002836F4" w:rsidRDefault="002836F4" w:rsidP="00F06A2A">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Entity – Entity number as either Policy, Client, or Agent</w:t>
            </w:r>
          </w:p>
        </w:tc>
      </w:tr>
      <w:tr w:rsidR="002836F4" w:rsidTr="00F06A2A">
        <w:tc>
          <w:tcPr>
            <w:cnfStyle w:val="001000000000" w:firstRow="0" w:lastRow="0" w:firstColumn="1" w:lastColumn="0" w:oddVBand="0" w:evenVBand="0" w:oddHBand="0" w:evenHBand="0" w:firstRowFirstColumn="0" w:firstRowLastColumn="0" w:lastRowFirstColumn="0" w:lastRowLastColumn="0"/>
            <w:tcW w:w="1998" w:type="dxa"/>
            <w:hideMark/>
          </w:tcPr>
          <w:p w:rsidR="002836F4" w:rsidRDefault="002836F4" w:rsidP="00F06A2A">
            <w:pPr>
              <w:rPr>
                <w:rFonts w:asciiTheme="minorHAnsi" w:hAnsiTheme="minorHAnsi"/>
                <w:color w:val="auto"/>
              </w:rPr>
            </w:pPr>
            <w:r>
              <w:rPr>
                <w:rFonts w:asciiTheme="minorHAnsi" w:hAnsiTheme="minorHAnsi"/>
                <w:color w:val="auto"/>
              </w:rPr>
              <w:t>Path Parameters</w:t>
            </w:r>
          </w:p>
        </w:tc>
        <w:tc>
          <w:tcPr>
            <w:tcW w:w="9018" w:type="dxa"/>
            <w:hideMark/>
          </w:tcPr>
          <w:p w:rsidR="002836F4" w:rsidRDefault="002836F4" w:rsidP="00F06A2A">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2836F4" w:rsidTr="00F0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2836F4" w:rsidRDefault="002836F4" w:rsidP="00F06A2A">
            <w:pPr>
              <w:rPr>
                <w:rFonts w:asciiTheme="minorHAnsi" w:hAnsiTheme="minorHAnsi"/>
                <w:color w:val="auto"/>
              </w:rPr>
            </w:pPr>
            <w:r>
              <w:rPr>
                <w:rFonts w:asciiTheme="minorHAnsi" w:hAnsiTheme="minorHAnsi"/>
                <w:color w:val="auto"/>
              </w:rPr>
              <w:t>Accepts</w:t>
            </w:r>
          </w:p>
        </w:tc>
        <w:tc>
          <w:tcPr>
            <w:tcW w:w="9018" w:type="dxa"/>
            <w:hideMark/>
          </w:tcPr>
          <w:p w:rsidR="002836F4" w:rsidRDefault="002836F4" w:rsidP="00F06A2A">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2836F4" w:rsidTr="00F06A2A">
        <w:tc>
          <w:tcPr>
            <w:cnfStyle w:val="001000000000" w:firstRow="0" w:lastRow="0" w:firstColumn="1" w:lastColumn="0" w:oddVBand="0" w:evenVBand="0" w:oddHBand="0" w:evenHBand="0" w:firstRowFirstColumn="0" w:firstRowLastColumn="0" w:lastRowFirstColumn="0" w:lastRowLastColumn="0"/>
            <w:tcW w:w="1998" w:type="dxa"/>
            <w:hideMark/>
          </w:tcPr>
          <w:p w:rsidR="002836F4" w:rsidRDefault="002836F4" w:rsidP="00F06A2A">
            <w:pPr>
              <w:rPr>
                <w:rFonts w:asciiTheme="minorHAnsi" w:hAnsiTheme="minorHAnsi"/>
                <w:color w:val="auto"/>
              </w:rPr>
            </w:pPr>
            <w:r>
              <w:rPr>
                <w:rFonts w:asciiTheme="minorHAnsi" w:hAnsiTheme="minorHAnsi"/>
                <w:color w:val="auto"/>
              </w:rPr>
              <w:lastRenderedPageBreak/>
              <w:t>Returns</w:t>
            </w:r>
          </w:p>
        </w:tc>
        <w:tc>
          <w:tcPr>
            <w:tcW w:w="9018" w:type="dxa"/>
            <w:hideMark/>
          </w:tcPr>
          <w:p w:rsidR="002836F4" w:rsidRDefault="002836F4" w:rsidP="00F06A2A">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JSON</w:t>
            </w:r>
          </w:p>
        </w:tc>
      </w:tr>
      <w:tr w:rsidR="002836F4" w:rsidTr="00F0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2836F4" w:rsidRDefault="002836F4" w:rsidP="00F06A2A">
            <w:pPr>
              <w:rPr>
                <w:rFonts w:asciiTheme="minorHAnsi" w:hAnsiTheme="minorHAnsi"/>
                <w:color w:val="auto"/>
              </w:rPr>
            </w:pPr>
            <w:r>
              <w:rPr>
                <w:rFonts w:asciiTheme="minorHAnsi" w:hAnsiTheme="minorHAnsi"/>
                <w:color w:val="auto"/>
              </w:rPr>
              <w:t>Body</w:t>
            </w:r>
          </w:p>
        </w:tc>
        <w:tc>
          <w:tcPr>
            <w:tcW w:w="9018" w:type="dxa"/>
            <w:hideMark/>
          </w:tcPr>
          <w:p w:rsidR="002836F4" w:rsidRDefault="002836F4" w:rsidP="00F06A2A">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2836F4" w:rsidTr="002836F4">
        <w:tc>
          <w:tcPr>
            <w:cnfStyle w:val="001000000000" w:firstRow="0" w:lastRow="0" w:firstColumn="1" w:lastColumn="0" w:oddVBand="0" w:evenVBand="0" w:oddHBand="0" w:evenHBand="0" w:firstRowFirstColumn="0" w:firstRowLastColumn="0" w:lastRowFirstColumn="0" w:lastRowLastColumn="0"/>
            <w:tcW w:w="1998" w:type="dxa"/>
            <w:hideMark/>
          </w:tcPr>
          <w:p w:rsidR="002836F4" w:rsidRDefault="002836F4" w:rsidP="00F06A2A">
            <w:pPr>
              <w:rPr>
                <w:rFonts w:asciiTheme="minorHAnsi" w:hAnsiTheme="minorHAnsi"/>
                <w:color w:val="auto"/>
              </w:rPr>
            </w:pPr>
            <w:r>
              <w:rPr>
                <w:rFonts w:asciiTheme="minorHAnsi" w:hAnsiTheme="minorHAnsi"/>
                <w:color w:val="auto"/>
              </w:rPr>
              <w:t>Description</w:t>
            </w:r>
          </w:p>
        </w:tc>
        <w:tc>
          <w:tcPr>
            <w:tcW w:w="9018" w:type="dxa"/>
          </w:tcPr>
          <w:p w:rsidR="002836F4" w:rsidRDefault="002836F4" w:rsidP="00F06A2A">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This service will update the ConversionStatus queue in ADBTSAC and add the supplied entity to the list of entities that could not be sent to Titanium.</w:t>
            </w:r>
            <w:bookmarkStart w:id="0" w:name="_GoBack"/>
            <w:bookmarkEnd w:id="0"/>
          </w:p>
        </w:tc>
      </w:tr>
    </w:tbl>
    <w:p w:rsidR="002836F4" w:rsidRDefault="002836F4" w:rsidP="00932547">
      <w:pPr>
        <w:rPr>
          <w:rFonts w:asciiTheme="minorHAnsi" w:hAnsiTheme="minorHAnsi"/>
          <w:color w:val="auto"/>
        </w:rPr>
      </w:pPr>
    </w:p>
    <w:p w:rsidR="00932547" w:rsidRDefault="00655B18" w:rsidP="00932547">
      <w:pPr>
        <w:rPr>
          <w:rFonts w:asciiTheme="majorHAnsi" w:hAnsiTheme="majorHAnsi"/>
          <w:b/>
          <w:color w:val="auto"/>
          <w:sz w:val="24"/>
          <w:szCs w:val="24"/>
        </w:rPr>
      </w:pPr>
      <w:r>
        <w:rPr>
          <w:rFonts w:asciiTheme="majorHAnsi" w:hAnsiTheme="majorHAnsi"/>
          <w:b/>
          <w:color w:val="auto"/>
          <w:sz w:val="24"/>
          <w:szCs w:val="24"/>
        </w:rPr>
        <w:t>Clear Policy</w:t>
      </w:r>
    </w:p>
    <w:tbl>
      <w:tblPr>
        <w:tblStyle w:val="PlainTable4"/>
        <w:tblW w:w="0" w:type="auto"/>
        <w:tblInd w:w="0" w:type="dxa"/>
        <w:tblLook w:val="04A0" w:firstRow="1" w:lastRow="0" w:firstColumn="1" w:lastColumn="0" w:noHBand="0" w:noVBand="1"/>
      </w:tblPr>
      <w:tblGrid>
        <w:gridCol w:w="1998"/>
        <w:gridCol w:w="9018"/>
      </w:tblGrid>
      <w:tr w:rsidR="00932547" w:rsidTr="00692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932547" w:rsidRDefault="00932547" w:rsidP="006924D1">
            <w:pPr>
              <w:rPr>
                <w:rFonts w:asciiTheme="minorHAnsi" w:hAnsiTheme="minorHAnsi"/>
                <w:color w:val="auto"/>
              </w:rPr>
            </w:pPr>
            <w:r>
              <w:rPr>
                <w:rFonts w:asciiTheme="minorHAnsi" w:hAnsiTheme="minorHAnsi"/>
                <w:color w:val="auto"/>
              </w:rPr>
              <w:t>Endpoint</w:t>
            </w:r>
          </w:p>
        </w:tc>
        <w:tc>
          <w:tcPr>
            <w:tcW w:w="9018" w:type="dxa"/>
            <w:hideMark/>
          </w:tcPr>
          <w:p w:rsidR="00932547" w:rsidRDefault="00932547" w:rsidP="006924D1">
            <w:pPr>
              <w:cnfStyle w:val="100000000000" w:firstRow="1" w:lastRow="0" w:firstColumn="0" w:lastColumn="0" w:oddVBand="0" w:evenVBand="0" w:oddHBand="0" w:evenHBand="0" w:firstRowFirstColumn="0" w:firstRowLastColumn="0" w:lastRowFirstColumn="0" w:lastRowLastColumn="0"/>
              <w:rPr>
                <w:rFonts w:asciiTheme="minorHAnsi" w:hAnsiTheme="minorHAnsi"/>
                <w:b w:val="0"/>
                <w:color w:val="auto"/>
              </w:rPr>
            </w:pPr>
            <w:r>
              <w:rPr>
                <w:rFonts w:asciiTheme="minorHAnsi" w:hAnsiTheme="minorHAnsi"/>
                <w:b w:val="0"/>
                <w:color w:val="auto"/>
              </w:rPr>
              <w:t>/</w:t>
            </w:r>
            <w:r w:rsidR="00655B18">
              <w:rPr>
                <w:rFonts w:asciiTheme="minorHAnsi" w:hAnsiTheme="minorHAnsi"/>
                <w:b w:val="0"/>
                <w:color w:val="auto"/>
              </w:rPr>
              <w:t>Clear</w:t>
            </w:r>
            <w:r>
              <w:rPr>
                <w:rFonts w:asciiTheme="minorHAnsi" w:hAnsiTheme="minorHAnsi"/>
                <w:b w:val="0"/>
                <w:color w:val="auto"/>
              </w:rPr>
              <w:t>/Policy/{</w:t>
            </w:r>
            <w:r w:rsidR="00655B18">
              <w:rPr>
                <w:rFonts w:asciiTheme="minorHAnsi" w:hAnsiTheme="minorHAnsi"/>
                <w:b w:val="0"/>
                <w:color w:val="auto"/>
              </w:rPr>
              <w:t>policy</w:t>
            </w:r>
            <w:r>
              <w:rPr>
                <w:rFonts w:asciiTheme="minorHAnsi" w:hAnsiTheme="minorHAnsi"/>
                <w:b w:val="0"/>
                <w:color w:val="auto"/>
              </w:rPr>
              <w:t>}</w:t>
            </w:r>
          </w:p>
        </w:tc>
      </w:tr>
      <w:tr w:rsidR="00932547" w:rsidTr="00692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932547" w:rsidRDefault="00932547" w:rsidP="006924D1">
            <w:pPr>
              <w:rPr>
                <w:rFonts w:asciiTheme="minorHAnsi" w:hAnsiTheme="minorHAnsi"/>
                <w:color w:val="auto"/>
              </w:rPr>
            </w:pPr>
            <w:r>
              <w:rPr>
                <w:rFonts w:asciiTheme="minorHAnsi" w:hAnsiTheme="minorHAnsi"/>
                <w:color w:val="auto"/>
              </w:rPr>
              <w:t>Headers</w:t>
            </w:r>
          </w:p>
        </w:tc>
        <w:tc>
          <w:tcPr>
            <w:tcW w:w="9018" w:type="dxa"/>
            <w:hideMark/>
          </w:tcPr>
          <w:p w:rsidR="00932547" w:rsidRDefault="00932547" w:rsidP="006924D1">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Ti-Token</w:t>
            </w:r>
          </w:p>
        </w:tc>
      </w:tr>
      <w:tr w:rsidR="00932547" w:rsidTr="006924D1">
        <w:tc>
          <w:tcPr>
            <w:cnfStyle w:val="001000000000" w:firstRow="0" w:lastRow="0" w:firstColumn="1" w:lastColumn="0" w:oddVBand="0" w:evenVBand="0" w:oddHBand="0" w:evenHBand="0" w:firstRowFirstColumn="0" w:firstRowLastColumn="0" w:lastRowFirstColumn="0" w:lastRowLastColumn="0"/>
            <w:tcW w:w="1998" w:type="dxa"/>
            <w:hideMark/>
          </w:tcPr>
          <w:p w:rsidR="00932547" w:rsidRDefault="00932547" w:rsidP="006924D1">
            <w:pPr>
              <w:rPr>
                <w:rFonts w:asciiTheme="minorHAnsi" w:hAnsiTheme="minorHAnsi"/>
                <w:color w:val="auto"/>
              </w:rPr>
            </w:pPr>
            <w:r>
              <w:rPr>
                <w:rFonts w:asciiTheme="minorHAnsi" w:hAnsiTheme="minorHAnsi"/>
                <w:color w:val="auto"/>
              </w:rPr>
              <w:t>Type</w:t>
            </w:r>
          </w:p>
        </w:tc>
        <w:tc>
          <w:tcPr>
            <w:tcW w:w="9018" w:type="dxa"/>
            <w:hideMark/>
          </w:tcPr>
          <w:p w:rsidR="00932547" w:rsidRDefault="00655B18" w:rsidP="006924D1">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DELETE</w:t>
            </w:r>
          </w:p>
        </w:tc>
      </w:tr>
      <w:tr w:rsidR="00932547" w:rsidTr="00692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932547" w:rsidRDefault="00932547" w:rsidP="006924D1">
            <w:pPr>
              <w:rPr>
                <w:rFonts w:asciiTheme="minorHAnsi" w:hAnsiTheme="minorHAnsi"/>
                <w:color w:val="auto"/>
              </w:rPr>
            </w:pPr>
            <w:r>
              <w:rPr>
                <w:rFonts w:asciiTheme="minorHAnsi" w:hAnsiTheme="minorHAnsi"/>
                <w:color w:val="auto"/>
              </w:rPr>
              <w:t>Query Parameters</w:t>
            </w:r>
          </w:p>
        </w:tc>
        <w:tc>
          <w:tcPr>
            <w:tcW w:w="9018" w:type="dxa"/>
            <w:hideMark/>
          </w:tcPr>
          <w:p w:rsidR="00932547" w:rsidRDefault="00932547" w:rsidP="006924D1">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932547" w:rsidTr="006924D1">
        <w:tc>
          <w:tcPr>
            <w:cnfStyle w:val="001000000000" w:firstRow="0" w:lastRow="0" w:firstColumn="1" w:lastColumn="0" w:oddVBand="0" w:evenVBand="0" w:oddHBand="0" w:evenHBand="0" w:firstRowFirstColumn="0" w:firstRowLastColumn="0" w:lastRowFirstColumn="0" w:lastRowLastColumn="0"/>
            <w:tcW w:w="1998" w:type="dxa"/>
            <w:hideMark/>
          </w:tcPr>
          <w:p w:rsidR="00932547" w:rsidRDefault="00932547" w:rsidP="006924D1">
            <w:pPr>
              <w:rPr>
                <w:rFonts w:asciiTheme="minorHAnsi" w:hAnsiTheme="minorHAnsi"/>
                <w:color w:val="auto"/>
              </w:rPr>
            </w:pPr>
            <w:r>
              <w:rPr>
                <w:rFonts w:asciiTheme="minorHAnsi" w:hAnsiTheme="minorHAnsi"/>
                <w:color w:val="auto"/>
              </w:rPr>
              <w:t>Path Parameters</w:t>
            </w:r>
          </w:p>
        </w:tc>
        <w:tc>
          <w:tcPr>
            <w:tcW w:w="9018" w:type="dxa"/>
            <w:hideMark/>
          </w:tcPr>
          <w:p w:rsidR="00932547" w:rsidRDefault="00655B18" w:rsidP="006924D1">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policy</w:t>
            </w:r>
            <w:r w:rsidR="00932547">
              <w:rPr>
                <w:rFonts w:asciiTheme="minorHAnsi" w:hAnsiTheme="minorHAnsi"/>
                <w:color w:val="auto"/>
              </w:rPr>
              <w:t xml:space="preserve"> – </w:t>
            </w:r>
            <w:r>
              <w:rPr>
                <w:rFonts w:asciiTheme="minorHAnsi" w:hAnsiTheme="minorHAnsi"/>
                <w:color w:val="auto"/>
              </w:rPr>
              <w:t>Policy number to delete</w:t>
            </w:r>
          </w:p>
        </w:tc>
      </w:tr>
      <w:tr w:rsidR="00932547" w:rsidTr="00692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932547" w:rsidRDefault="00932547" w:rsidP="006924D1">
            <w:pPr>
              <w:rPr>
                <w:rFonts w:asciiTheme="minorHAnsi" w:hAnsiTheme="minorHAnsi"/>
                <w:color w:val="auto"/>
              </w:rPr>
            </w:pPr>
            <w:r>
              <w:rPr>
                <w:rFonts w:asciiTheme="minorHAnsi" w:hAnsiTheme="minorHAnsi"/>
                <w:color w:val="auto"/>
              </w:rPr>
              <w:t>Accepts</w:t>
            </w:r>
          </w:p>
        </w:tc>
        <w:tc>
          <w:tcPr>
            <w:tcW w:w="9018" w:type="dxa"/>
            <w:hideMark/>
          </w:tcPr>
          <w:p w:rsidR="00932547" w:rsidRDefault="00655B18" w:rsidP="006924D1">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932547" w:rsidTr="006924D1">
        <w:tc>
          <w:tcPr>
            <w:cnfStyle w:val="001000000000" w:firstRow="0" w:lastRow="0" w:firstColumn="1" w:lastColumn="0" w:oddVBand="0" w:evenVBand="0" w:oddHBand="0" w:evenHBand="0" w:firstRowFirstColumn="0" w:firstRowLastColumn="0" w:lastRowFirstColumn="0" w:lastRowLastColumn="0"/>
            <w:tcW w:w="1998" w:type="dxa"/>
            <w:hideMark/>
          </w:tcPr>
          <w:p w:rsidR="00932547" w:rsidRDefault="00932547" w:rsidP="006924D1">
            <w:pPr>
              <w:rPr>
                <w:rFonts w:asciiTheme="minorHAnsi" w:hAnsiTheme="minorHAnsi"/>
                <w:color w:val="auto"/>
              </w:rPr>
            </w:pPr>
            <w:r>
              <w:rPr>
                <w:rFonts w:asciiTheme="minorHAnsi" w:hAnsiTheme="minorHAnsi"/>
                <w:color w:val="auto"/>
              </w:rPr>
              <w:t>Returns</w:t>
            </w:r>
          </w:p>
        </w:tc>
        <w:tc>
          <w:tcPr>
            <w:tcW w:w="9018" w:type="dxa"/>
            <w:hideMark/>
          </w:tcPr>
          <w:p w:rsidR="00932547" w:rsidRDefault="00655B18" w:rsidP="006924D1">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JSON</w:t>
            </w:r>
          </w:p>
        </w:tc>
      </w:tr>
      <w:tr w:rsidR="00932547" w:rsidTr="00692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932547" w:rsidRDefault="00932547" w:rsidP="006924D1">
            <w:pPr>
              <w:rPr>
                <w:rFonts w:asciiTheme="minorHAnsi" w:hAnsiTheme="minorHAnsi"/>
                <w:color w:val="auto"/>
              </w:rPr>
            </w:pPr>
            <w:r>
              <w:rPr>
                <w:rFonts w:asciiTheme="minorHAnsi" w:hAnsiTheme="minorHAnsi"/>
                <w:color w:val="auto"/>
              </w:rPr>
              <w:t>Body</w:t>
            </w:r>
          </w:p>
        </w:tc>
        <w:tc>
          <w:tcPr>
            <w:tcW w:w="9018" w:type="dxa"/>
            <w:hideMark/>
          </w:tcPr>
          <w:p w:rsidR="00932547" w:rsidRDefault="00655B18" w:rsidP="006924D1">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NONE</w:t>
            </w:r>
          </w:p>
        </w:tc>
      </w:tr>
      <w:tr w:rsidR="00932547" w:rsidTr="006924D1">
        <w:tc>
          <w:tcPr>
            <w:cnfStyle w:val="001000000000" w:firstRow="0" w:lastRow="0" w:firstColumn="1" w:lastColumn="0" w:oddVBand="0" w:evenVBand="0" w:oddHBand="0" w:evenHBand="0" w:firstRowFirstColumn="0" w:firstRowLastColumn="0" w:lastRowFirstColumn="0" w:lastRowLastColumn="0"/>
            <w:tcW w:w="1998" w:type="dxa"/>
            <w:hideMark/>
          </w:tcPr>
          <w:p w:rsidR="00932547" w:rsidRDefault="00932547" w:rsidP="006924D1">
            <w:pPr>
              <w:rPr>
                <w:rFonts w:asciiTheme="minorHAnsi" w:hAnsiTheme="minorHAnsi"/>
                <w:color w:val="auto"/>
              </w:rPr>
            </w:pPr>
            <w:r>
              <w:rPr>
                <w:rFonts w:asciiTheme="minorHAnsi" w:hAnsiTheme="minorHAnsi"/>
                <w:color w:val="auto"/>
              </w:rPr>
              <w:t>Description</w:t>
            </w:r>
          </w:p>
        </w:tc>
        <w:tc>
          <w:tcPr>
            <w:tcW w:w="9018" w:type="dxa"/>
            <w:hideMark/>
          </w:tcPr>
          <w:p w:rsidR="00655B18" w:rsidRDefault="00655B18" w:rsidP="00655B18">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The Ti-Token header is used to validate that the user has authentication to run this transaction.</w:t>
            </w:r>
          </w:p>
          <w:p w:rsidR="00932547" w:rsidRDefault="00932547" w:rsidP="006924D1">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p>
          <w:p w:rsidR="00655B18" w:rsidRDefault="00655B18" w:rsidP="006924D1">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 xml:space="preserve">This service is used to delete a policy from the Titanium database. This process does not go through Titanium and instead deletes all instances of the policy within </w:t>
            </w:r>
            <w:r w:rsidR="00863BD4">
              <w:rPr>
                <w:rFonts w:asciiTheme="minorHAnsi" w:hAnsiTheme="minorHAnsi"/>
                <w:color w:val="auto"/>
              </w:rPr>
              <w:t>many</w:t>
            </w:r>
            <w:r>
              <w:rPr>
                <w:rFonts w:asciiTheme="minorHAnsi" w:hAnsiTheme="minorHAnsi"/>
                <w:color w:val="auto"/>
              </w:rPr>
              <w:t xml:space="preserve"> database tables. MFIO is not used </w:t>
            </w:r>
            <w:r w:rsidR="00863BD4">
              <w:rPr>
                <w:rFonts w:asciiTheme="minorHAnsi" w:hAnsiTheme="minorHAnsi"/>
                <w:color w:val="auto"/>
              </w:rPr>
              <w:t>for this process</w:t>
            </w:r>
            <w:r>
              <w:rPr>
                <w:rFonts w:asciiTheme="minorHAnsi" w:hAnsiTheme="minorHAnsi"/>
                <w:color w:val="auto"/>
              </w:rPr>
              <w:t>.</w:t>
            </w:r>
            <w:r w:rsidR="00582730">
              <w:rPr>
                <w:rFonts w:asciiTheme="minorHAnsi" w:hAnsiTheme="minorHAnsi"/>
                <w:color w:val="auto"/>
              </w:rPr>
              <w:t xml:space="preserve"> Instead, raw delete statements are processed against the appropriate tables.</w:t>
            </w:r>
          </w:p>
          <w:p w:rsidR="00655B18" w:rsidRDefault="00655B18" w:rsidP="006924D1">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p>
          <w:p w:rsidR="00655B18" w:rsidRPr="00655B18" w:rsidRDefault="00655B18" w:rsidP="006924D1">
            <w:pPr>
              <w:cnfStyle w:val="000000000000" w:firstRow="0" w:lastRow="0" w:firstColumn="0" w:lastColumn="0" w:oddVBand="0" w:evenVBand="0" w:oddHBand="0" w:evenHBand="0" w:firstRowFirstColumn="0" w:firstRowLastColumn="0" w:lastRowFirstColumn="0" w:lastRowLastColumn="0"/>
              <w:rPr>
                <w:rFonts w:asciiTheme="minorHAnsi" w:hAnsiTheme="minorHAnsi"/>
                <w:b/>
                <w:color w:val="auto"/>
              </w:rPr>
            </w:pPr>
            <w:r w:rsidRPr="00655B18">
              <w:rPr>
                <w:rFonts w:asciiTheme="minorHAnsi" w:hAnsiTheme="minorHAnsi"/>
                <w:b/>
                <w:color w:val="FF0000"/>
              </w:rPr>
              <w:t>This process should only be used during the conversion process</w:t>
            </w:r>
            <w:r>
              <w:rPr>
                <w:rFonts w:asciiTheme="minorHAnsi" w:hAnsiTheme="minorHAnsi"/>
                <w:b/>
                <w:color w:val="FF0000"/>
              </w:rPr>
              <w:t xml:space="preserve"> and only for testing</w:t>
            </w:r>
            <w:r w:rsidRPr="00655B18">
              <w:rPr>
                <w:rFonts w:asciiTheme="minorHAnsi" w:hAnsiTheme="minorHAnsi"/>
                <w:b/>
                <w:color w:val="FF0000"/>
              </w:rPr>
              <w:t>. Not to be used during production or in quality assurance regions.</w:t>
            </w:r>
          </w:p>
        </w:tc>
      </w:tr>
    </w:tbl>
    <w:p w:rsidR="00632BAD" w:rsidRDefault="00632BAD" w:rsidP="00932547">
      <w:pPr>
        <w:rPr>
          <w:rFonts w:asciiTheme="minorHAnsi" w:hAnsiTheme="minorHAnsi"/>
          <w:color w:val="auto"/>
        </w:rPr>
      </w:pPr>
    </w:p>
    <w:sectPr w:rsidR="00632BAD">
      <w:headerReference w:type="default" r:id="rId6"/>
      <w:footerReference w:type="default" r:id="rId7"/>
      <w:pgSz w:w="12240" w:h="15840"/>
      <w:pgMar w:top="1440" w:right="720" w:bottom="144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72D2" w:rsidRDefault="005672D2">
      <w:pPr>
        <w:spacing w:line="240" w:lineRule="auto"/>
      </w:pPr>
      <w:r>
        <w:separator/>
      </w:r>
    </w:p>
  </w:endnote>
  <w:endnote w:type="continuationSeparator" w:id="0">
    <w:p w:rsidR="005672D2" w:rsidRDefault="005672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66BA" w:rsidRDefault="00D266BA">
    <w:pPr>
      <w:ind w:left="-360" w:right="-360"/>
      <w:rPr>
        <w:rFonts w:ascii="Calibri" w:eastAsia="Calibri" w:hAnsi="Calibri" w:cs="Calibri"/>
        <w:color w:val="B7B7B7"/>
      </w:rPr>
    </w:pPr>
  </w:p>
  <w:p w:rsidR="00D266BA" w:rsidRDefault="00B6056A">
    <w:pPr>
      <w:ind w:left="1710" w:firstLine="720"/>
      <w:rPr>
        <w:rFonts w:ascii="Calibri" w:eastAsia="Calibri" w:hAnsi="Calibri" w:cs="Calibri"/>
        <w:color w:val="B7B7B7"/>
      </w:rPr>
    </w:pPr>
    <w:r>
      <w:rPr>
        <w:rFonts w:ascii="Calibri" w:eastAsia="Calibri" w:hAnsi="Calibri" w:cs="Calibri"/>
        <w:color w:val="B7B7B7"/>
      </w:rPr>
      <w:t>The vision to know what lies beyond,</w:t>
    </w:r>
    <w:r>
      <w:rPr>
        <w:noProof/>
      </w:rPr>
      <w:drawing>
        <wp:anchor distT="0" distB="0" distL="0" distR="0" simplePos="0" relativeHeight="251658240" behindDoc="0" locked="0" layoutInCell="0" hidden="0" allowOverlap="1">
          <wp:simplePos x="0" y="0"/>
          <wp:positionH relativeFrom="margin">
            <wp:posOffset>-200024</wp:posOffset>
          </wp:positionH>
          <wp:positionV relativeFrom="paragraph">
            <wp:posOffset>28575</wp:posOffset>
          </wp:positionV>
          <wp:extent cx="681038" cy="541548"/>
          <wp:effectExtent l="0" t="0" r="0" b="0"/>
          <wp:wrapSquare wrapText="bothSides" distT="0" distB="0" distL="0" distR="0"/>
          <wp:docPr id="1" name="image2.png" descr="LIDP_logo_2013-964x689_Transparent.png"/>
          <wp:cNvGraphicFramePr/>
          <a:graphic xmlns:a="http://schemas.openxmlformats.org/drawingml/2006/main">
            <a:graphicData uri="http://schemas.openxmlformats.org/drawingml/2006/picture">
              <pic:pic xmlns:pic="http://schemas.openxmlformats.org/drawingml/2006/picture">
                <pic:nvPicPr>
                  <pic:cNvPr id="0" name="image2.png" descr="LIDP_logo_2013-964x689_Transparent.png"/>
                  <pic:cNvPicPr preferRelativeResize="0"/>
                </pic:nvPicPr>
                <pic:blipFill>
                  <a:blip r:embed="rId1"/>
                  <a:srcRect l="20634" t="12000" r="24603" b="24315"/>
                  <a:stretch>
                    <a:fillRect/>
                  </a:stretch>
                </pic:blipFill>
                <pic:spPr>
                  <a:xfrm>
                    <a:off x="0" y="0"/>
                    <a:ext cx="681038" cy="541548"/>
                  </a:xfrm>
                  <a:prstGeom prst="rect">
                    <a:avLst/>
                  </a:prstGeom>
                  <a:ln/>
                </pic:spPr>
              </pic:pic>
            </a:graphicData>
          </a:graphic>
        </wp:anchor>
      </w:drawing>
    </w:r>
  </w:p>
  <w:p w:rsidR="00D266BA" w:rsidRDefault="00B6056A">
    <w:pPr>
      <w:spacing w:line="240" w:lineRule="auto"/>
      <w:ind w:left="2430" w:firstLine="720"/>
      <w:rPr>
        <w:rFonts w:ascii="Calibri" w:eastAsia="Calibri" w:hAnsi="Calibri" w:cs="Calibri"/>
        <w:color w:val="B7B7B7"/>
      </w:rPr>
    </w:pPr>
    <w:r>
      <w:rPr>
        <w:rFonts w:ascii="Calibri" w:eastAsia="Calibri" w:hAnsi="Calibri" w:cs="Calibri"/>
        <w:color w:val="B7B7B7"/>
      </w:rPr>
      <w:t>the knowledge to bring it into focus,</w:t>
    </w:r>
  </w:p>
  <w:p w:rsidR="00D266BA" w:rsidRDefault="00B6056A">
    <w:pPr>
      <w:spacing w:line="240" w:lineRule="auto"/>
      <w:ind w:left="2880" w:firstLine="720"/>
      <w:jc w:val="right"/>
      <w:rPr>
        <w:rFonts w:ascii="Calibri" w:eastAsia="Calibri" w:hAnsi="Calibri" w:cs="Calibri"/>
      </w:rPr>
    </w:pPr>
    <w:r>
      <w:rPr>
        <w:rFonts w:ascii="Calibri" w:eastAsia="Calibri" w:hAnsi="Calibri" w:cs="Calibri"/>
        <w:color w:val="B7B7B7"/>
      </w:rPr>
      <w:t>and the mission to make it a reality.</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954C72">
      <w:rPr>
        <w:rFonts w:ascii="Calibri" w:eastAsia="Calibri" w:hAnsi="Calibri" w:cs="Calibri"/>
        <w:noProof/>
      </w:rPr>
      <w:t>1</w:t>
    </w:r>
    <w:r>
      <w:rPr>
        <w:rFonts w:ascii="Calibri" w:eastAsia="Calibri" w:hAnsi="Calibri" w:cs="Calibri"/>
      </w:rPr>
      <w:fldChar w:fldCharType="end"/>
    </w:r>
    <w:r>
      <w:rPr>
        <w:rFonts w:ascii="Calibri" w:eastAsia="Calibri" w:hAnsi="Calibri" w:cs="Calibri"/>
      </w:rPr>
      <w:t xml:space="preserve"> of </w:t>
    </w:r>
    <w:r>
      <w:rPr>
        <w:rFonts w:ascii="Calibri" w:eastAsia="Calibri" w:hAnsi="Calibri" w:cs="Calibri"/>
      </w:rPr>
      <w:fldChar w:fldCharType="begin"/>
    </w:r>
    <w:r>
      <w:rPr>
        <w:rFonts w:ascii="Calibri" w:eastAsia="Calibri" w:hAnsi="Calibri" w:cs="Calibri"/>
      </w:rPr>
      <w:instrText>NUMPAGES</w:instrText>
    </w:r>
    <w:r>
      <w:rPr>
        <w:rFonts w:ascii="Calibri" w:eastAsia="Calibri" w:hAnsi="Calibri" w:cs="Calibri"/>
      </w:rPr>
      <w:fldChar w:fldCharType="separate"/>
    </w:r>
    <w:r w:rsidR="00954C72">
      <w:rPr>
        <w:rFonts w:ascii="Calibri" w:eastAsia="Calibri" w:hAnsi="Calibri" w:cs="Calibri"/>
        <w:noProof/>
      </w:rPr>
      <w:t>1</w:t>
    </w:r>
    <w:r>
      <w:rPr>
        <w:rFonts w:ascii="Calibri" w:eastAsia="Calibri" w:hAnsi="Calibri" w:cs="Calibri"/>
      </w:rPr>
      <w:fldChar w:fldCharType="end"/>
    </w:r>
  </w:p>
  <w:p w:rsidR="00D266BA" w:rsidRDefault="00D266BA">
    <w:pPr>
      <w:spacing w:line="240" w:lineRule="auto"/>
      <w:ind w:right="-180"/>
      <w:rPr>
        <w:rFonts w:ascii="Calibri" w:eastAsia="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72D2" w:rsidRDefault="005672D2">
      <w:pPr>
        <w:spacing w:line="240" w:lineRule="auto"/>
      </w:pPr>
      <w:r>
        <w:separator/>
      </w:r>
    </w:p>
  </w:footnote>
  <w:footnote w:type="continuationSeparator" w:id="0">
    <w:p w:rsidR="005672D2" w:rsidRDefault="005672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66BA" w:rsidRDefault="00D266BA">
    <w:pPr>
      <w:ind w:left="-360" w:right="-360"/>
      <w:rPr>
        <w:rFonts w:ascii="Calibri" w:eastAsia="Calibri" w:hAnsi="Calibri" w:cs="Calibri"/>
      </w:rPr>
    </w:pPr>
  </w:p>
  <w:tbl>
    <w:tblPr>
      <w:tblStyle w:val="a1"/>
      <w:tblW w:w="11010" w:type="dxa"/>
      <w:tblInd w:w="-120" w:type="dxa"/>
      <w:tblLayout w:type="fixed"/>
      <w:tblLook w:val="0600" w:firstRow="0" w:lastRow="0" w:firstColumn="0" w:lastColumn="0" w:noHBand="1" w:noVBand="1"/>
    </w:tblPr>
    <w:tblGrid>
      <w:gridCol w:w="8760"/>
      <w:gridCol w:w="2250"/>
    </w:tblGrid>
    <w:tr w:rsidR="00D266BA">
      <w:tc>
        <w:tcPr>
          <w:tcW w:w="8760" w:type="dxa"/>
          <w:tcBorders>
            <w:top w:val="nil"/>
            <w:left w:val="nil"/>
            <w:bottom w:val="nil"/>
            <w:right w:val="nil"/>
          </w:tcBorders>
          <w:tcMar>
            <w:top w:w="100" w:type="dxa"/>
            <w:left w:w="100" w:type="dxa"/>
            <w:bottom w:w="100" w:type="dxa"/>
            <w:right w:w="100" w:type="dxa"/>
          </w:tcMar>
          <w:vAlign w:val="center"/>
        </w:tcPr>
        <w:p w:rsidR="00D266BA" w:rsidRDefault="00B6056A">
          <w:pPr>
            <w:spacing w:line="240" w:lineRule="auto"/>
            <w:ind w:left="-100" w:right="-360"/>
            <w:rPr>
              <w:rFonts w:ascii="Calibri" w:eastAsia="Calibri" w:hAnsi="Calibri" w:cs="Calibri"/>
              <w:b/>
            </w:rPr>
          </w:pPr>
          <w:r>
            <w:rPr>
              <w:rFonts w:ascii="Calibri" w:eastAsia="Calibri" w:hAnsi="Calibri" w:cs="Calibri"/>
            </w:rPr>
            <w:t xml:space="preserve">LIDP Consulting Services </w:t>
          </w:r>
          <w:r w:rsidR="009B2075">
            <w:rPr>
              <w:rFonts w:ascii="Calibri" w:eastAsia="Calibri" w:hAnsi="Calibri" w:cs="Calibri"/>
            </w:rPr>
            <w:t>–</w:t>
          </w:r>
          <w:r>
            <w:rPr>
              <w:rFonts w:ascii="Calibri" w:eastAsia="Calibri" w:hAnsi="Calibri" w:cs="Calibri"/>
            </w:rPr>
            <w:t xml:space="preserve"> </w:t>
          </w:r>
          <w:r w:rsidR="008026CF">
            <w:rPr>
              <w:rFonts w:ascii="Calibri" w:eastAsia="Calibri" w:hAnsi="Calibri" w:cs="Calibri"/>
              <w:b/>
            </w:rPr>
            <w:t>Conversion W</w:t>
          </w:r>
          <w:r w:rsidR="009B2075">
            <w:rPr>
              <w:rFonts w:ascii="Calibri" w:eastAsia="Calibri" w:hAnsi="Calibri" w:cs="Calibri"/>
              <w:b/>
            </w:rPr>
            <w:t>eb Service</w:t>
          </w:r>
        </w:p>
      </w:tc>
      <w:tc>
        <w:tcPr>
          <w:tcW w:w="2250" w:type="dxa"/>
          <w:tcBorders>
            <w:top w:val="nil"/>
            <w:left w:val="nil"/>
            <w:bottom w:val="nil"/>
            <w:right w:val="nil"/>
          </w:tcBorders>
          <w:tcMar>
            <w:top w:w="100" w:type="dxa"/>
            <w:left w:w="100" w:type="dxa"/>
            <w:bottom w:w="100" w:type="dxa"/>
            <w:right w:w="100" w:type="dxa"/>
          </w:tcMar>
        </w:tcPr>
        <w:p w:rsidR="00D266BA" w:rsidRDefault="00932547">
          <w:pPr>
            <w:spacing w:line="288" w:lineRule="auto"/>
            <w:ind w:right="-90"/>
            <w:jc w:val="right"/>
            <w:rPr>
              <w:rFonts w:ascii="Calibri" w:eastAsia="Calibri" w:hAnsi="Calibri" w:cs="Calibri"/>
            </w:rPr>
          </w:pPr>
          <w:r>
            <w:rPr>
              <w:rFonts w:ascii="Calibri" w:eastAsia="Calibri" w:hAnsi="Calibri" w:cs="Calibri"/>
            </w:rPr>
            <w:t xml:space="preserve">June </w:t>
          </w:r>
          <w:r w:rsidR="00B6056A">
            <w:rPr>
              <w:rFonts w:ascii="Calibri" w:eastAsia="Calibri" w:hAnsi="Calibri" w:cs="Calibri"/>
            </w:rPr>
            <w:t>2017</w:t>
          </w:r>
        </w:p>
      </w:tc>
    </w:tr>
  </w:tbl>
  <w:p w:rsidR="00D266BA" w:rsidRDefault="005672D2">
    <w:pPr>
      <w:spacing w:line="240" w:lineRule="auto"/>
      <w:ind w:left="-360" w:right="-360"/>
    </w:pPr>
    <w:r>
      <w:pict>
        <v:rect id="_x0000_i1025" style="width:0;height:1.5pt" o:hralign="center" o:hrstd="t" o:hr="t" fillcolor="#a0a0a0" stroked="f"/>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D266BA"/>
    <w:rsid w:val="00014F96"/>
    <w:rsid w:val="000B78C4"/>
    <w:rsid w:val="001C2539"/>
    <w:rsid w:val="002836F4"/>
    <w:rsid w:val="002927A8"/>
    <w:rsid w:val="002B4207"/>
    <w:rsid w:val="002F3D85"/>
    <w:rsid w:val="003325C8"/>
    <w:rsid w:val="004272BA"/>
    <w:rsid w:val="004D026B"/>
    <w:rsid w:val="005672D2"/>
    <w:rsid w:val="00582730"/>
    <w:rsid w:val="005B4F55"/>
    <w:rsid w:val="00632BAD"/>
    <w:rsid w:val="00655B18"/>
    <w:rsid w:val="007672AF"/>
    <w:rsid w:val="008026CF"/>
    <w:rsid w:val="00815B8D"/>
    <w:rsid w:val="00863BD4"/>
    <w:rsid w:val="00932547"/>
    <w:rsid w:val="00954C72"/>
    <w:rsid w:val="00990E30"/>
    <w:rsid w:val="009A0034"/>
    <w:rsid w:val="009B2075"/>
    <w:rsid w:val="009D66B7"/>
    <w:rsid w:val="00B13F6A"/>
    <w:rsid w:val="00B22DCE"/>
    <w:rsid w:val="00B25A38"/>
    <w:rsid w:val="00B6056A"/>
    <w:rsid w:val="00B93976"/>
    <w:rsid w:val="00BB026C"/>
    <w:rsid w:val="00C040B5"/>
    <w:rsid w:val="00CB645A"/>
    <w:rsid w:val="00D266BA"/>
    <w:rsid w:val="00DC3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29A987"/>
  <w15:docId w15:val="{AA8D3D1A-09FF-4A7D-8559-89EC6E20C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spacing w:line="360" w:lineRule="auto"/>
      <w:contextualSpacing/>
      <w:outlineLvl w:val="0"/>
    </w:pPr>
    <w:rPr>
      <w:b/>
      <w:sz w:val="28"/>
      <w:szCs w:val="28"/>
      <w:u w:val="single"/>
    </w:rPr>
  </w:style>
  <w:style w:type="paragraph" w:styleId="Heading2">
    <w:name w:val="heading 2"/>
    <w:basedOn w:val="Normal"/>
    <w:next w:val="Normal"/>
    <w:pPr>
      <w:keepNext/>
      <w:keepLines/>
      <w:spacing w:before="200"/>
      <w:contextualSpacing/>
      <w:outlineLvl w:val="1"/>
    </w:pPr>
    <w:rPr>
      <w:rFonts w:ascii="Trebuchet MS" w:eastAsia="Trebuchet MS" w:hAnsi="Trebuchet MS" w:cs="Trebuchet MS"/>
      <w:b/>
      <w:sz w:val="26"/>
      <w:szCs w:val="26"/>
    </w:rPr>
  </w:style>
  <w:style w:type="paragraph" w:styleId="Heading3">
    <w:name w:val="heading 3"/>
    <w:basedOn w:val="Normal"/>
    <w:next w:val="Normal"/>
    <w:pPr>
      <w:keepNext/>
      <w:keepLines/>
      <w:spacing w:before="160"/>
      <w:contextualSpacing/>
      <w:outlineLvl w:val="2"/>
    </w:pPr>
    <w:rPr>
      <w:rFonts w:ascii="Trebuchet MS" w:eastAsia="Trebuchet MS" w:hAnsi="Trebuchet MS" w:cs="Trebuchet MS"/>
      <w:b/>
      <w:color w:val="666666"/>
      <w:sz w:val="24"/>
      <w:szCs w:val="24"/>
    </w:rPr>
  </w:style>
  <w:style w:type="paragraph" w:styleId="Heading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contextualSpacing/>
    </w:pPr>
    <w:rPr>
      <w:rFonts w:ascii="Trebuchet MS" w:eastAsia="Trebuchet MS" w:hAnsi="Trebuchet MS" w:cs="Trebuchet MS"/>
      <w:sz w:val="42"/>
      <w:szCs w:val="42"/>
    </w:rPr>
  </w:style>
  <w:style w:type="paragraph" w:styleId="Subtitle">
    <w:name w:val="Subtitle"/>
    <w:basedOn w:val="Normal"/>
    <w:next w:val="Normal"/>
    <w:pPr>
      <w:keepNext/>
      <w:keepLines/>
      <w:spacing w:after="200"/>
      <w:contextualSpacing/>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styleId="TableGrid">
    <w:name w:val="Table Grid"/>
    <w:basedOn w:val="TableNormal"/>
    <w:uiPriority w:val="39"/>
    <w:rsid w:val="00CB645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3D85"/>
    <w:pPr>
      <w:tabs>
        <w:tab w:val="center" w:pos="4680"/>
        <w:tab w:val="right" w:pos="9360"/>
      </w:tabs>
      <w:spacing w:line="240" w:lineRule="auto"/>
    </w:pPr>
  </w:style>
  <w:style w:type="character" w:customStyle="1" w:styleId="HeaderChar">
    <w:name w:val="Header Char"/>
    <w:basedOn w:val="DefaultParagraphFont"/>
    <w:link w:val="Header"/>
    <w:uiPriority w:val="99"/>
    <w:rsid w:val="002F3D85"/>
  </w:style>
  <w:style w:type="paragraph" w:styleId="Footer">
    <w:name w:val="footer"/>
    <w:basedOn w:val="Normal"/>
    <w:link w:val="FooterChar"/>
    <w:uiPriority w:val="99"/>
    <w:unhideWhenUsed/>
    <w:rsid w:val="002F3D85"/>
    <w:pPr>
      <w:tabs>
        <w:tab w:val="center" w:pos="4680"/>
        <w:tab w:val="right" w:pos="9360"/>
      </w:tabs>
      <w:spacing w:line="240" w:lineRule="auto"/>
    </w:pPr>
  </w:style>
  <w:style w:type="character" w:customStyle="1" w:styleId="FooterChar">
    <w:name w:val="Footer Char"/>
    <w:basedOn w:val="DefaultParagraphFont"/>
    <w:link w:val="Footer"/>
    <w:uiPriority w:val="99"/>
    <w:rsid w:val="002F3D85"/>
  </w:style>
  <w:style w:type="table" w:styleId="PlainTable4">
    <w:name w:val="Plain Table 4"/>
    <w:basedOn w:val="TableNormal"/>
    <w:uiPriority w:val="44"/>
    <w:rsid w:val="009B2075"/>
    <w:pPr>
      <w:spacing w:line="240" w:lineRule="auto"/>
    </w:p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09902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610</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Matthew Segreti</cp:lastModifiedBy>
  <cp:revision>16</cp:revision>
  <dcterms:created xsi:type="dcterms:W3CDTF">2017-06-01T17:12:00Z</dcterms:created>
  <dcterms:modified xsi:type="dcterms:W3CDTF">2017-10-26T15:54:00Z</dcterms:modified>
</cp:coreProperties>
</file>