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075" w:rsidRDefault="00D23B95" w:rsidP="009B2075">
      <w:pPr>
        <w:rPr>
          <w:rFonts w:asciiTheme="majorHAnsi" w:hAnsiTheme="majorHAnsi"/>
          <w:b/>
          <w:color w:val="auto"/>
          <w:sz w:val="28"/>
          <w:szCs w:val="28"/>
        </w:rPr>
      </w:pPr>
      <w:r>
        <w:rPr>
          <w:rFonts w:asciiTheme="majorHAnsi" w:hAnsiTheme="majorHAnsi"/>
          <w:b/>
          <w:color w:val="auto"/>
          <w:sz w:val="28"/>
          <w:szCs w:val="28"/>
        </w:rPr>
        <w:t>SOA</w:t>
      </w:r>
    </w:p>
    <w:p w:rsidR="00B93976" w:rsidRDefault="009B2075" w:rsidP="009B2075">
      <w:pPr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Below are th</w:t>
      </w:r>
      <w:r w:rsidR="009A0034">
        <w:rPr>
          <w:rFonts w:asciiTheme="minorHAnsi" w:hAnsiTheme="minorHAnsi"/>
          <w:color w:val="auto"/>
        </w:rPr>
        <w:t xml:space="preserve">e endpoint definitions for the </w:t>
      </w:r>
      <w:proofErr w:type="spellStart"/>
      <w:r w:rsidR="00D23B95">
        <w:rPr>
          <w:rFonts w:asciiTheme="minorHAnsi" w:hAnsiTheme="minorHAnsi"/>
          <w:color w:val="auto"/>
        </w:rPr>
        <w:t>soa</w:t>
      </w:r>
      <w:proofErr w:type="spellEnd"/>
      <w:r>
        <w:rPr>
          <w:rFonts w:asciiTheme="minorHAnsi" w:hAnsiTheme="minorHAnsi"/>
          <w:color w:val="auto"/>
        </w:rPr>
        <w:t xml:space="preserve"> web service.</w:t>
      </w:r>
      <w:r w:rsidR="00655B18">
        <w:rPr>
          <w:rFonts w:asciiTheme="minorHAnsi" w:hAnsiTheme="minorHAnsi"/>
          <w:color w:val="auto"/>
        </w:rPr>
        <w:t xml:space="preserve"> </w:t>
      </w:r>
      <w:r w:rsidR="00D23B95">
        <w:rPr>
          <w:rFonts w:asciiTheme="minorHAnsi" w:hAnsiTheme="minorHAnsi"/>
          <w:color w:val="auto"/>
        </w:rPr>
        <w:t xml:space="preserve">This service communicates with Titanium. As such, properties are read from the </w:t>
      </w:r>
      <w:proofErr w:type="spellStart"/>
      <w:r w:rsidR="00D23B95">
        <w:rPr>
          <w:rFonts w:asciiTheme="minorHAnsi" w:hAnsiTheme="minorHAnsi"/>
          <w:color w:val="auto"/>
        </w:rPr>
        <w:t>ADMI_WebServices.properties</w:t>
      </w:r>
      <w:proofErr w:type="spellEnd"/>
      <w:r w:rsidR="00D23B95">
        <w:rPr>
          <w:rFonts w:asciiTheme="minorHAnsi" w:hAnsiTheme="minorHAnsi"/>
          <w:color w:val="auto"/>
        </w:rPr>
        <w:t xml:space="preserve"> file to get Titanium’s location. This also requires that the Client Listener and Application server be running with Titanium.</w:t>
      </w:r>
    </w:p>
    <w:p w:rsidR="000B78C4" w:rsidRDefault="000B78C4" w:rsidP="009B2075">
      <w:pPr>
        <w:rPr>
          <w:rFonts w:asciiTheme="minorHAnsi" w:hAnsiTheme="minorHAnsi"/>
          <w:color w:val="auto"/>
        </w:rPr>
      </w:pPr>
    </w:p>
    <w:p w:rsidR="009B2075" w:rsidRDefault="001E12B7" w:rsidP="009B2075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Process Admin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9B2075" w:rsidTr="009B20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/Admin</w:t>
            </w:r>
            <w:r w:rsidR="00ED1A63">
              <w:rPr>
                <w:rFonts w:asciiTheme="minorHAnsi" w:hAnsiTheme="minorHAnsi"/>
                <w:b w:val="0"/>
                <w:color w:val="auto"/>
              </w:rPr>
              <w:t>/Submit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Admin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Admin</w:t>
            </w:r>
          </w:p>
        </w:tc>
      </w:tr>
      <w:tr w:rsidR="009B2075" w:rsidTr="009B20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9B2075" w:rsidRDefault="001E12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Admin java object</w:t>
            </w:r>
          </w:p>
        </w:tc>
      </w:tr>
      <w:tr w:rsidR="009B2075" w:rsidTr="009B20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9B2075" w:rsidRDefault="009B2075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2927A8" w:rsidRDefault="001E12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This service will attempt to process </w:t>
            </w:r>
            <w:proofErr w:type="spellStart"/>
            <w:r>
              <w:rPr>
                <w:rFonts w:asciiTheme="minorHAnsi" w:hAnsiTheme="minorHAnsi"/>
                <w:color w:val="auto"/>
              </w:rPr>
              <w:t>an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admin request. An admin</w:t>
            </w:r>
            <w:r w:rsidR="00ED1A63">
              <w:rPr>
                <w:rFonts w:asciiTheme="minorHAnsi" w:hAnsiTheme="minorHAnsi"/>
                <w:color w:val="auto"/>
              </w:rPr>
              <w:t xml:space="preserve"> response</w:t>
            </w:r>
            <w:r>
              <w:rPr>
                <w:rFonts w:asciiTheme="minorHAnsi" w:hAnsiTheme="minorHAnsi"/>
                <w:color w:val="auto"/>
              </w:rPr>
              <w:t xml:space="preserve"> object will be returned.</w:t>
            </w:r>
          </w:p>
        </w:tc>
      </w:tr>
    </w:tbl>
    <w:p w:rsidR="00ED1A63" w:rsidRDefault="00ED1A63" w:rsidP="00ED1A63">
      <w:pPr>
        <w:rPr>
          <w:rFonts w:asciiTheme="minorHAnsi" w:hAnsiTheme="minorHAnsi"/>
        </w:rPr>
      </w:pPr>
    </w:p>
    <w:p w:rsidR="00ED1A63" w:rsidRDefault="00ED1A63" w:rsidP="00ED1A63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Process Admin XML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ED1A63" w:rsidTr="00692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/Admin/Submit/XML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XML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XML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XML Admin object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 xml:space="preserve">This service will convert and XML </w:t>
            </w:r>
            <w:r w:rsidR="000456CA">
              <w:rPr>
                <w:rFonts w:asciiTheme="minorHAnsi" w:hAnsiTheme="minorHAnsi"/>
                <w:color w:val="auto"/>
              </w:rPr>
              <w:t>A</w:t>
            </w:r>
            <w:r>
              <w:rPr>
                <w:rFonts w:asciiTheme="minorHAnsi" w:hAnsiTheme="minorHAnsi"/>
                <w:color w:val="auto"/>
              </w:rPr>
              <w:t xml:space="preserve">dmin object then attempt to process request. The XML representation of the </w:t>
            </w:r>
            <w:r w:rsidR="000456CA">
              <w:rPr>
                <w:rFonts w:asciiTheme="minorHAnsi" w:hAnsiTheme="minorHAnsi"/>
                <w:color w:val="auto"/>
              </w:rPr>
              <w:t>A</w:t>
            </w:r>
            <w:r>
              <w:rPr>
                <w:rFonts w:asciiTheme="minorHAnsi" w:hAnsiTheme="minorHAnsi"/>
                <w:color w:val="auto"/>
              </w:rPr>
              <w:t>dmin response will be returned.</w:t>
            </w:r>
          </w:p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XStream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is used for the XML conversion.</w:t>
            </w:r>
          </w:p>
        </w:tc>
      </w:tr>
    </w:tbl>
    <w:p w:rsidR="00ED1A63" w:rsidRDefault="00ED1A63" w:rsidP="00ED1A63">
      <w:pPr>
        <w:rPr>
          <w:rFonts w:asciiTheme="majorHAnsi" w:hAnsiTheme="majorHAnsi"/>
          <w:b/>
          <w:color w:val="auto"/>
          <w:sz w:val="24"/>
          <w:szCs w:val="24"/>
        </w:rPr>
      </w:pPr>
    </w:p>
    <w:p w:rsidR="00ED1A63" w:rsidRDefault="00ED1A63" w:rsidP="00ED1A63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Process Admin JSON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ED1A63" w:rsidTr="00692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/Admin/Submit/JSON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ED1A63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 Admin object</w:t>
            </w:r>
          </w:p>
        </w:tc>
      </w:tr>
      <w:tr w:rsidR="00ED1A63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ED1A63" w:rsidRDefault="00ED1A63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This service will convert and JSON</w:t>
            </w:r>
            <w:r w:rsidR="000456CA">
              <w:rPr>
                <w:rFonts w:asciiTheme="minorHAnsi" w:hAnsiTheme="minorHAnsi"/>
                <w:color w:val="auto"/>
              </w:rPr>
              <w:t xml:space="preserve"> A</w:t>
            </w:r>
            <w:r>
              <w:rPr>
                <w:rFonts w:asciiTheme="minorHAnsi" w:hAnsiTheme="minorHAnsi"/>
                <w:color w:val="auto"/>
              </w:rPr>
              <w:t>dmin object then attempt to process request. The JSON representation of the admin response will be returned.</w:t>
            </w:r>
          </w:p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:rsidR="00ED1A63" w:rsidRDefault="00ED1A63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Gson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is used for the JSON conversions.</w:t>
            </w:r>
          </w:p>
        </w:tc>
      </w:tr>
    </w:tbl>
    <w:p w:rsidR="000456CA" w:rsidRDefault="000456CA" w:rsidP="000456CA">
      <w:pPr>
        <w:rPr>
          <w:rFonts w:asciiTheme="majorHAnsi" w:hAnsiTheme="majorHAnsi"/>
          <w:b/>
          <w:color w:val="auto"/>
          <w:sz w:val="24"/>
          <w:szCs w:val="24"/>
        </w:rPr>
      </w:pPr>
    </w:p>
    <w:p w:rsidR="000456CA" w:rsidRDefault="000456CA" w:rsidP="000456CA">
      <w:pPr>
        <w:rPr>
          <w:rFonts w:asciiTheme="majorHAnsi" w:hAnsiTheme="majorHAnsi"/>
          <w:b/>
          <w:color w:val="auto"/>
          <w:sz w:val="24"/>
          <w:szCs w:val="24"/>
        </w:rPr>
      </w:pPr>
      <w:r>
        <w:rPr>
          <w:rFonts w:asciiTheme="majorHAnsi" w:hAnsiTheme="majorHAnsi"/>
          <w:b/>
          <w:color w:val="auto"/>
          <w:sz w:val="24"/>
          <w:szCs w:val="24"/>
        </w:rPr>
        <w:t>JSON Conversion</w:t>
      </w:r>
    </w:p>
    <w:tbl>
      <w:tblPr>
        <w:tblStyle w:val="PlainTable4"/>
        <w:tblW w:w="0" w:type="auto"/>
        <w:tblInd w:w="0" w:type="dxa"/>
        <w:tblLook w:val="04A0" w:firstRow="1" w:lastRow="0" w:firstColumn="1" w:lastColumn="0" w:noHBand="0" w:noVBand="1"/>
      </w:tblPr>
      <w:tblGrid>
        <w:gridCol w:w="1998"/>
        <w:gridCol w:w="9018"/>
      </w:tblGrid>
      <w:tr w:rsidR="000456CA" w:rsidTr="006924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Endpoint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 w:val="0"/>
                <w:color w:val="auto"/>
              </w:rPr>
            </w:pPr>
            <w:r>
              <w:rPr>
                <w:rFonts w:asciiTheme="minorHAnsi" w:hAnsiTheme="minorHAnsi"/>
                <w:b w:val="0"/>
                <w:color w:val="auto"/>
              </w:rPr>
              <w:t>/Admin/Convert/XML</w:t>
            </w:r>
          </w:p>
        </w:tc>
      </w:tr>
      <w:tr w:rsidR="000456CA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Headers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0456CA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Type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POST</w:t>
            </w:r>
          </w:p>
        </w:tc>
      </w:tr>
      <w:tr w:rsidR="000456CA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Query Parameters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0456CA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Path Parameters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None</w:t>
            </w:r>
          </w:p>
        </w:tc>
      </w:tr>
      <w:tr w:rsidR="000456CA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Accepts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XML</w:t>
            </w:r>
          </w:p>
        </w:tc>
      </w:tr>
      <w:tr w:rsidR="000456CA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Returns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JSON</w:t>
            </w:r>
          </w:p>
        </w:tc>
      </w:tr>
      <w:tr w:rsidR="000456CA" w:rsidTr="006924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Body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XML Admin object</w:t>
            </w:r>
          </w:p>
        </w:tc>
      </w:tr>
      <w:tr w:rsidR="000456CA" w:rsidTr="006924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8" w:type="dxa"/>
            <w:hideMark/>
          </w:tcPr>
          <w:p w:rsidR="000456CA" w:rsidRDefault="000456CA" w:rsidP="006924D1">
            <w:pPr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Description</w:t>
            </w:r>
          </w:p>
        </w:tc>
        <w:tc>
          <w:tcPr>
            <w:tcW w:w="9018" w:type="dxa"/>
            <w:hideMark/>
          </w:tcPr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This service will convert and XML Admin object to and Admin object then convert the java object to JSON.</w:t>
            </w:r>
          </w:p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</w:p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XStream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is used for the XML conversion.</w:t>
            </w:r>
          </w:p>
          <w:p w:rsidR="000456CA" w:rsidRDefault="000456CA" w:rsidP="006924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color w:val="auto"/>
              </w:rPr>
            </w:pPr>
            <w:proofErr w:type="spellStart"/>
            <w:r>
              <w:rPr>
                <w:rFonts w:asciiTheme="minorHAnsi" w:hAnsiTheme="minorHAnsi"/>
                <w:color w:val="auto"/>
              </w:rPr>
              <w:t>Gson</w:t>
            </w:r>
            <w:proofErr w:type="spellEnd"/>
            <w:r>
              <w:rPr>
                <w:rFonts w:asciiTheme="minorHAnsi" w:hAnsiTheme="minorHAnsi"/>
                <w:color w:val="auto"/>
              </w:rPr>
              <w:t xml:space="preserve"> is used for the JSON conversion.</w:t>
            </w:r>
          </w:p>
        </w:tc>
      </w:tr>
    </w:tbl>
    <w:p w:rsidR="009B2075" w:rsidRPr="00ED1A63" w:rsidRDefault="009B2075" w:rsidP="00ED1A63">
      <w:pPr>
        <w:jc w:val="right"/>
        <w:rPr>
          <w:rFonts w:asciiTheme="minorHAnsi" w:hAnsiTheme="minorHAnsi"/>
        </w:rPr>
      </w:pPr>
    </w:p>
    <w:sectPr w:rsidR="009B2075" w:rsidRPr="00ED1A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720" w:bottom="144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0D18" w:rsidRDefault="005A0D18">
      <w:pPr>
        <w:spacing w:line="240" w:lineRule="auto"/>
      </w:pPr>
      <w:r>
        <w:separator/>
      </w:r>
    </w:p>
  </w:endnote>
  <w:endnote w:type="continuationSeparator" w:id="0">
    <w:p w:rsidR="005A0D18" w:rsidRDefault="005A0D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711" w:rsidRDefault="002E57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  <w:color w:val="B7B7B7"/>
      </w:rPr>
    </w:pPr>
  </w:p>
  <w:p w:rsidR="00D266BA" w:rsidRDefault="00B6056A">
    <w:pPr>
      <w:ind w:left="171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vision to know what lies beyond,</w:t>
    </w:r>
    <w:r>
      <w:rPr>
        <w:noProof/>
      </w:rPr>
      <w:drawing>
        <wp:anchor distT="0" distB="0" distL="0" distR="0" simplePos="0" relativeHeight="251658240" behindDoc="0" locked="0" layoutInCell="0" hidden="0" allowOverlap="1">
          <wp:simplePos x="0" y="0"/>
          <wp:positionH relativeFrom="margin">
            <wp:posOffset>-200024</wp:posOffset>
          </wp:positionH>
          <wp:positionV relativeFrom="paragraph">
            <wp:posOffset>28575</wp:posOffset>
          </wp:positionV>
          <wp:extent cx="681038" cy="541548"/>
          <wp:effectExtent l="0" t="0" r="0" b="0"/>
          <wp:wrapSquare wrapText="bothSides" distT="0" distB="0" distL="0" distR="0"/>
          <wp:docPr id="1" name="image2.png" descr="LIDP_logo_2013-964x689_Transparen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IDP_logo_2013-964x689_Transparent.png"/>
                  <pic:cNvPicPr preferRelativeResize="0"/>
                </pic:nvPicPr>
                <pic:blipFill>
                  <a:blip r:embed="rId1"/>
                  <a:srcRect l="20634" t="12000" r="24603" b="24315"/>
                  <a:stretch>
                    <a:fillRect/>
                  </a:stretch>
                </pic:blipFill>
                <pic:spPr>
                  <a:xfrm>
                    <a:off x="0" y="0"/>
                    <a:ext cx="681038" cy="5415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266BA" w:rsidRDefault="00B6056A">
    <w:pPr>
      <w:spacing w:line="240" w:lineRule="auto"/>
      <w:ind w:left="2430" w:firstLine="720"/>
      <w:rPr>
        <w:rFonts w:ascii="Calibri" w:eastAsia="Calibri" w:hAnsi="Calibri" w:cs="Calibri"/>
        <w:color w:val="B7B7B7"/>
      </w:rPr>
    </w:pPr>
    <w:r>
      <w:rPr>
        <w:rFonts w:ascii="Calibri" w:eastAsia="Calibri" w:hAnsi="Calibri" w:cs="Calibri"/>
        <w:color w:val="B7B7B7"/>
      </w:rPr>
      <w:t>the knowledge to bring it into focus,</w:t>
    </w:r>
  </w:p>
  <w:p w:rsidR="00D266BA" w:rsidRDefault="00B6056A">
    <w:pPr>
      <w:spacing w:line="240" w:lineRule="auto"/>
      <w:ind w:left="2880" w:firstLine="720"/>
      <w:jc w:val="right"/>
      <w:rPr>
        <w:rFonts w:ascii="Calibri" w:eastAsia="Calibri" w:hAnsi="Calibri" w:cs="Calibri"/>
      </w:rPr>
    </w:pPr>
    <w:r>
      <w:rPr>
        <w:rFonts w:ascii="Calibri" w:eastAsia="Calibri" w:hAnsi="Calibri" w:cs="Calibri"/>
        <w:color w:val="B7B7B7"/>
      </w:rPr>
      <w:t>and the mission to make it a reality.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PAGE</w:instrText>
    </w:r>
    <w:r>
      <w:rPr>
        <w:rFonts w:ascii="Calibri" w:eastAsia="Calibri" w:hAnsi="Calibri" w:cs="Calibri"/>
      </w:rPr>
      <w:fldChar w:fldCharType="separate"/>
    </w:r>
    <w:r w:rsidR="002E5711">
      <w:rPr>
        <w:rFonts w:ascii="Calibri" w:eastAsia="Calibri" w:hAnsi="Calibri" w:cs="Calibri"/>
        <w:noProof/>
      </w:rPr>
      <w:t>1</w:t>
    </w:r>
    <w:r>
      <w:rPr>
        <w:rFonts w:ascii="Calibri" w:eastAsia="Calibri" w:hAnsi="Calibri" w:cs="Calibri"/>
      </w:rPr>
      <w:fldChar w:fldCharType="end"/>
    </w:r>
    <w:r>
      <w:rPr>
        <w:rFonts w:ascii="Calibri" w:eastAsia="Calibri" w:hAnsi="Calibri" w:cs="Calibri"/>
      </w:rPr>
      <w:t xml:space="preserve"> of </w:t>
    </w:r>
    <w:r>
      <w:rPr>
        <w:rFonts w:ascii="Calibri" w:eastAsia="Calibri" w:hAnsi="Calibri" w:cs="Calibri"/>
      </w:rPr>
      <w:fldChar w:fldCharType="begin"/>
    </w:r>
    <w:r>
      <w:rPr>
        <w:rFonts w:ascii="Calibri" w:eastAsia="Calibri" w:hAnsi="Calibri" w:cs="Calibri"/>
      </w:rPr>
      <w:instrText>NUMPAGES</w:instrText>
    </w:r>
    <w:r>
      <w:rPr>
        <w:rFonts w:ascii="Calibri" w:eastAsia="Calibri" w:hAnsi="Calibri" w:cs="Calibri"/>
      </w:rPr>
      <w:fldChar w:fldCharType="separate"/>
    </w:r>
    <w:r w:rsidR="002E5711">
      <w:rPr>
        <w:rFonts w:ascii="Calibri" w:eastAsia="Calibri" w:hAnsi="Calibri" w:cs="Calibri"/>
        <w:noProof/>
      </w:rPr>
      <w:t>2</w:t>
    </w:r>
    <w:r>
      <w:rPr>
        <w:rFonts w:ascii="Calibri" w:eastAsia="Calibri" w:hAnsi="Calibri" w:cs="Calibri"/>
      </w:rPr>
      <w:fldChar w:fldCharType="end"/>
    </w:r>
  </w:p>
  <w:p w:rsidR="00D266BA" w:rsidRDefault="00D266BA">
    <w:pPr>
      <w:spacing w:line="240" w:lineRule="auto"/>
      <w:ind w:right="-180"/>
      <w:rPr>
        <w:rFonts w:ascii="Calibri" w:eastAsia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711" w:rsidRDefault="002E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0D18" w:rsidRDefault="005A0D18">
      <w:pPr>
        <w:spacing w:line="240" w:lineRule="auto"/>
      </w:pPr>
      <w:r>
        <w:separator/>
      </w:r>
    </w:p>
  </w:footnote>
  <w:footnote w:type="continuationSeparator" w:id="0">
    <w:p w:rsidR="005A0D18" w:rsidRDefault="005A0D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711" w:rsidRDefault="002E5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66BA" w:rsidRDefault="00D266BA">
    <w:pPr>
      <w:ind w:left="-360" w:right="-360"/>
      <w:rPr>
        <w:rFonts w:ascii="Calibri" w:eastAsia="Calibri" w:hAnsi="Calibri" w:cs="Calibri"/>
      </w:rPr>
    </w:pPr>
  </w:p>
  <w:tbl>
    <w:tblPr>
      <w:tblStyle w:val="a1"/>
      <w:tblW w:w="11010" w:type="dxa"/>
      <w:tblInd w:w="-120" w:type="dxa"/>
      <w:tblLayout w:type="fixed"/>
      <w:tblLook w:val="0600" w:firstRow="0" w:lastRow="0" w:firstColumn="0" w:lastColumn="0" w:noHBand="1" w:noVBand="1"/>
    </w:tblPr>
    <w:tblGrid>
      <w:gridCol w:w="8760"/>
      <w:gridCol w:w="2250"/>
    </w:tblGrid>
    <w:tr w:rsidR="00D266BA">
      <w:tc>
        <w:tcPr>
          <w:tcW w:w="876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D266BA" w:rsidRDefault="00B6056A">
          <w:pPr>
            <w:spacing w:line="240" w:lineRule="auto"/>
            <w:ind w:left="-100" w:right="-360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</w:rPr>
            <w:t xml:space="preserve">LIDP Consulting Services </w:t>
          </w:r>
          <w:r w:rsidR="009B2075">
            <w:rPr>
              <w:rFonts w:ascii="Calibri" w:eastAsia="Calibri" w:hAnsi="Calibri" w:cs="Calibri"/>
            </w:rPr>
            <w:t>–</w:t>
          </w:r>
          <w:r>
            <w:rPr>
              <w:rFonts w:ascii="Calibri" w:eastAsia="Calibri" w:hAnsi="Calibri" w:cs="Calibri"/>
            </w:rPr>
            <w:t xml:space="preserve"> </w:t>
          </w:r>
          <w:r w:rsidR="00D23B95">
            <w:rPr>
              <w:rFonts w:ascii="Calibri" w:eastAsia="Calibri" w:hAnsi="Calibri" w:cs="Calibri"/>
              <w:b/>
            </w:rPr>
            <w:t>SOA</w:t>
          </w:r>
          <w:r w:rsidR="008026CF">
            <w:rPr>
              <w:rFonts w:ascii="Calibri" w:eastAsia="Calibri" w:hAnsi="Calibri" w:cs="Calibri"/>
              <w:b/>
            </w:rPr>
            <w:t xml:space="preserve"> W</w:t>
          </w:r>
          <w:r w:rsidR="009B2075">
            <w:rPr>
              <w:rFonts w:ascii="Calibri" w:eastAsia="Calibri" w:hAnsi="Calibri" w:cs="Calibri"/>
              <w:b/>
            </w:rPr>
            <w:t>eb Service</w:t>
          </w:r>
        </w:p>
      </w:tc>
      <w:tc>
        <w:tcPr>
          <w:tcW w:w="2250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:rsidR="00D266BA" w:rsidRDefault="00932547">
          <w:pPr>
            <w:spacing w:line="288" w:lineRule="auto"/>
            <w:ind w:right="-90"/>
            <w:jc w:val="right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 xml:space="preserve">June </w:t>
          </w:r>
          <w:r w:rsidR="00B6056A">
            <w:rPr>
              <w:rFonts w:ascii="Calibri" w:eastAsia="Calibri" w:hAnsi="Calibri" w:cs="Calibri"/>
            </w:rPr>
            <w:t>2017</w:t>
          </w:r>
        </w:p>
      </w:tc>
    </w:tr>
  </w:tbl>
  <w:p w:rsidR="00D266BA" w:rsidRDefault="005A0D18">
    <w:pPr>
      <w:spacing w:line="240" w:lineRule="auto"/>
      <w:ind w:left="-360" w:right="-360"/>
    </w:pPr>
    <w:r>
      <w:pict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5711" w:rsidRDefault="002E57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66BA"/>
    <w:rsid w:val="00014F96"/>
    <w:rsid w:val="000456CA"/>
    <w:rsid w:val="000B78C4"/>
    <w:rsid w:val="001C2539"/>
    <w:rsid w:val="001E12B7"/>
    <w:rsid w:val="002927A8"/>
    <w:rsid w:val="002B4207"/>
    <w:rsid w:val="002E5711"/>
    <w:rsid w:val="002F3D85"/>
    <w:rsid w:val="004272BA"/>
    <w:rsid w:val="004D026B"/>
    <w:rsid w:val="00582730"/>
    <w:rsid w:val="005A0D18"/>
    <w:rsid w:val="005B4F55"/>
    <w:rsid w:val="00655B18"/>
    <w:rsid w:val="007672AF"/>
    <w:rsid w:val="008026CF"/>
    <w:rsid w:val="00815B8D"/>
    <w:rsid w:val="00863BD4"/>
    <w:rsid w:val="00932547"/>
    <w:rsid w:val="00990E30"/>
    <w:rsid w:val="009A0034"/>
    <w:rsid w:val="009B2075"/>
    <w:rsid w:val="009D66B7"/>
    <w:rsid w:val="00B13F6A"/>
    <w:rsid w:val="00B25A38"/>
    <w:rsid w:val="00B42433"/>
    <w:rsid w:val="00B6056A"/>
    <w:rsid w:val="00B93976"/>
    <w:rsid w:val="00BB026C"/>
    <w:rsid w:val="00CB645A"/>
    <w:rsid w:val="00D23B95"/>
    <w:rsid w:val="00D266BA"/>
    <w:rsid w:val="00DC3E4B"/>
    <w:rsid w:val="00ED1A63"/>
    <w:rsid w:val="00EE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B88D61"/>
  <w15:docId w15:val="{AA8D3D1A-09FF-4A7D-8559-89EC6E20C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360" w:lineRule="auto"/>
      <w:contextualSpacing/>
      <w:outlineLvl w:val="0"/>
    </w:pPr>
    <w:rPr>
      <w:b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B64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D85"/>
  </w:style>
  <w:style w:type="paragraph" w:styleId="Footer">
    <w:name w:val="footer"/>
    <w:basedOn w:val="Normal"/>
    <w:link w:val="FooterChar"/>
    <w:uiPriority w:val="99"/>
    <w:unhideWhenUsed/>
    <w:rsid w:val="002F3D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D85"/>
  </w:style>
  <w:style w:type="table" w:styleId="PlainTable4">
    <w:name w:val="Plain Table 4"/>
    <w:basedOn w:val="TableNormal"/>
    <w:uiPriority w:val="44"/>
    <w:rsid w:val="009B2075"/>
    <w:pPr>
      <w:spacing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Segreti</cp:lastModifiedBy>
  <cp:revision>19</cp:revision>
  <dcterms:created xsi:type="dcterms:W3CDTF">2017-06-01T17:12:00Z</dcterms:created>
  <dcterms:modified xsi:type="dcterms:W3CDTF">2017-06-01T18:55:00Z</dcterms:modified>
</cp:coreProperties>
</file>