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312" w:lineRule="auto"/>
        <w:jc w:val="center"/>
      </w:pPr>
      <w:r>
        <w:rPr>
          <w:rFonts w:ascii="Times New Roman" w:hAnsi="Times New Roman" w:cs="Times New Roman" w:eastAsia="Times New Roman"/>
          <w:b/>
          <w:i w:val="0"/>
          <w:color w:val="000000"/>
          <w:sz w:val="26"/>
        </w:rPr>
        <w:t>CỘNG HÒA XÃ HỘI CHỦ NGHĨA VIỆT NAM</w:t>
      </w:r>
    </w:p>
    <w:p>
      <w:pPr>
        <w:spacing w:after="0" w:before="0" w:line="312" w:lineRule="auto"/>
        <w:jc w:val="center"/>
      </w:pPr>
      <w:r>
        <w:rPr>
          <w:rFonts w:ascii="Times New Roman" w:hAnsi="Times New Roman" w:cs="Times New Roman" w:eastAsia="Times New Roman"/>
          <w:b/>
          <w:i w:val="0"/>
          <w:color w:val="000000"/>
          <w:sz w:val="24"/>
        </w:rPr>
        <w:t>Độc lập - Tự do - Hạnh phúc</w:t>
      </w:r>
    </w:p>
    <w:p>
      <w:pPr>
        <w:spacing w:after="280" w:before="0" w:line="312" w:lineRule="auto"/>
        <w:jc w:val="center"/>
      </w:pPr>
      <w:r>
        <w:rPr>
          <w:rFonts w:ascii="Times New Roman" w:hAnsi="Times New Roman" w:cs="Times New Roman" w:eastAsia="Times New Roman"/>
          <w:b w:val="0"/>
          <w:i w:val="0"/>
          <w:color w:val="000000"/>
          <w:sz w:val="24"/>
        </w:rPr>
        <w:t>----------------------</w:t>
      </w:r>
    </w:p>
    <w:p>
      <w:pPr>
        <w:spacing w:after="80" w:before="0" w:line="312" w:lineRule="auto"/>
        <w:jc w:val="center"/>
      </w:pPr>
      <w:r>
        <w:rPr>
          <w:rFonts w:ascii="Times New Roman" w:hAnsi="Times New Roman" w:cs="Times New Roman" w:eastAsia="Times New Roman"/>
          <w:b/>
          <w:i w:val="0"/>
          <w:color w:val="000000"/>
          <w:sz w:val="32"/>
        </w:rPr>
        <w:t>HỢP ĐỒNG BỔ SUNG</w:t>
      </w:r>
    </w:p>
    <w:p>
      <w:pPr>
        <w:spacing w:after="80" w:before="0" w:line="312" w:lineRule="auto"/>
        <w:jc w:val="center"/>
      </w:pPr>
      <w:r>
        <w:rPr>
          <w:rFonts w:ascii="Times New Roman" w:hAnsi="Times New Roman" w:cs="Times New Roman" w:eastAsia="Times New Roman"/>
          <w:b w:val="0"/>
          <w:i/>
          <w:color w:val="000000"/>
          <w:sz w:val="24"/>
        </w:rPr>
        <w:t>(V/v: Gửi email tự động và tích hợp cổng thanh toán Airwallex cho website AURA &amp; CO tại aura.maxmin.vn)</w:t>
      </w:r>
    </w:p>
    <w:p>
      <w:pPr>
        <w:spacing w:after="280" w:before="0" w:line="312" w:lineRule="auto"/>
        <w:jc w:val="center"/>
      </w:pPr>
      <w:r>
        <w:rPr>
          <w:rFonts w:ascii="Times New Roman" w:hAnsi="Times New Roman" w:cs="Times New Roman" w:eastAsia="Times New Roman"/>
          <w:b/>
          <w:i w:val="0"/>
          <w:color w:val="000000"/>
          <w:sz w:val="24"/>
        </w:rPr>
        <w:t>Số: 03/2026/HĐBS</w:t>
      </w:r>
    </w:p>
    <w:p>
      <w:pPr>
        <w:spacing w:after="80" w:before="0" w:line="312" w:lineRule="auto"/>
        <w:jc w:val="both"/>
      </w:pPr>
      <w:r>
        <w:rPr>
          <w:rFonts w:ascii="Times New Roman" w:hAnsi="Times New Roman" w:cs="Times New Roman" w:eastAsia="Times New Roman"/>
          <w:b w:val="0"/>
          <w:i w:val="0"/>
          <w:color w:val="000000"/>
          <w:sz w:val="24"/>
        </w:rPr>
        <w:t>- Căn cứ Bộ luật Dân sự số 91/2015/QH13;</w:t>
      </w:r>
    </w:p>
    <w:p>
      <w:pPr>
        <w:spacing w:after="80" w:before="0" w:line="312" w:lineRule="auto"/>
        <w:jc w:val="both"/>
      </w:pPr>
      <w:r>
        <w:rPr>
          <w:rFonts w:ascii="Times New Roman" w:hAnsi="Times New Roman" w:cs="Times New Roman" w:eastAsia="Times New Roman"/>
          <w:b w:val="0"/>
          <w:i w:val="0"/>
          <w:color w:val="000000"/>
          <w:sz w:val="24"/>
        </w:rPr>
        <w:t>- Căn cứ Luật Thương mại số 36/2005/QH11;</w:t>
      </w:r>
    </w:p>
    <w:p>
      <w:pPr>
        <w:spacing w:after="80" w:before="0" w:line="312" w:lineRule="auto"/>
        <w:jc w:val="both"/>
      </w:pPr>
      <w:r>
        <w:rPr>
          <w:rFonts w:ascii="Times New Roman" w:hAnsi="Times New Roman" w:cs="Times New Roman" w:eastAsia="Times New Roman"/>
          <w:b w:val="0"/>
          <w:i w:val="0"/>
          <w:color w:val="000000"/>
          <w:sz w:val="24"/>
        </w:rPr>
        <w:t>- Căn cứ Luật Giao dịch điện tử số 20/2023/QH15;</w:t>
      </w:r>
    </w:p>
    <w:p>
      <w:pPr>
        <w:spacing w:after="80" w:before="0" w:line="312" w:lineRule="auto"/>
        <w:jc w:val="both"/>
      </w:pPr>
      <w:r>
        <w:rPr>
          <w:rFonts w:ascii="Times New Roman" w:hAnsi="Times New Roman" w:cs="Times New Roman" w:eastAsia="Times New Roman"/>
          <w:b w:val="0"/>
          <w:i w:val="0"/>
          <w:color w:val="000000"/>
          <w:sz w:val="24"/>
        </w:rPr>
        <w:t>- Căn cứ Hợp đồng dịch vụ số 46/2026/HĐDV ký ngày 26 tháng 08 năm 2026 giữa hai Bên (sau đây gọi là “Hợp đồng gốc”);</w:t>
      </w:r>
    </w:p>
    <w:p>
      <w:pPr>
        <w:spacing w:after="80" w:before="0" w:line="312" w:lineRule="auto"/>
        <w:jc w:val="both"/>
      </w:pPr>
      <w:r>
        <w:rPr>
          <w:rFonts w:ascii="Times New Roman" w:hAnsi="Times New Roman" w:cs="Times New Roman" w:eastAsia="Times New Roman"/>
          <w:b w:val="0"/>
          <w:i w:val="0"/>
          <w:color w:val="000000"/>
          <w:sz w:val="24"/>
        </w:rPr>
        <w:t>- Căn cứ Hợp đồng bổ sung số 01/2026/HĐBS và số 02/2026/HĐBS giữa hai Bên;</w:t>
      </w:r>
    </w:p>
    <w:p>
      <w:pPr>
        <w:spacing w:after="80" w:before="0" w:line="312" w:lineRule="auto"/>
        <w:jc w:val="both"/>
      </w:pPr>
      <w:r>
        <w:rPr>
          <w:rFonts w:ascii="Times New Roman" w:hAnsi="Times New Roman" w:cs="Times New Roman" w:eastAsia="Times New Roman"/>
          <w:b w:val="0"/>
          <w:i w:val="0"/>
          <w:color w:val="000000"/>
          <w:sz w:val="24"/>
        </w:rPr>
        <w:t>- Căn cứ Điều 10 của Hợp đồng gốc về xử lý yêu cầu nằm ngoài phạm vi công việc;</w:t>
      </w:r>
    </w:p>
    <w:p>
      <w:pPr>
        <w:spacing w:after="80" w:before="0" w:line="312" w:lineRule="auto"/>
        <w:jc w:val="both"/>
      </w:pPr>
      <w:r>
        <w:rPr>
          <w:rFonts w:ascii="Times New Roman" w:hAnsi="Times New Roman" w:cs="Times New Roman" w:eastAsia="Times New Roman"/>
          <w:b w:val="0"/>
          <w:i w:val="0"/>
          <w:color w:val="000000"/>
          <w:sz w:val="24"/>
        </w:rPr>
        <w:t>- Căn cứ nhu cầu và khả năng thực tế của hai Bên,</w:t>
      </w:r>
    </w:p>
    <w:p>
      <w:pPr>
        <w:spacing w:after="200" w:before="160" w:line="312" w:lineRule="auto"/>
        <w:jc w:val="both"/>
      </w:pPr>
      <w:r>
        <w:rPr>
          <w:rFonts w:ascii="Times New Roman" w:hAnsi="Times New Roman" w:cs="Times New Roman" w:eastAsia="Times New Roman"/>
          <w:b w:val="0"/>
          <w:i w:val="0"/>
          <w:color w:val="000000"/>
          <w:sz w:val="24"/>
        </w:rPr>
        <w:t>Hôm nay, ngày ...... tháng ...... năm .........., tại Hà Nội, hai bên gồm:</w:t>
      </w:r>
    </w:p>
    <w:p>
      <w:pPr>
        <w:spacing w:after="120" w:before="0" w:line="312" w:lineRule="auto"/>
        <w:jc w:val="left"/>
      </w:pPr>
      <w:r>
        <w:rPr>
          <w:rFonts w:ascii="Times New Roman" w:hAnsi="Times New Roman" w:cs="Times New Roman" w:eastAsia="Times New Roman"/>
          <w:b/>
          <w:i w:val="0"/>
          <w:color w:val="000000"/>
          <w:sz w:val="25"/>
        </w:rPr>
        <w:t>BÊN A - BÊN SỬ DỤNG DỊCH VỤ</w:t>
      </w:r>
    </w:p>
    <w:tbl>
      <w:tblPr>
        <w:tblW w:type="auto" w:w="0"/>
        <w:jc w:val="center"/>
        <w:tblLayout w:type="fixed"/>
        <w:tblLook w:firstColumn="1" w:firstRow="1" w:lastColumn="0" w:lastRow="0" w:noHBand="0" w:noVBand="1" w:val="04A0"/>
      </w:tblPr>
      <w:tblGrid>
        <w:gridCol w:w="4986"/>
        <w:gridCol w:w="4986"/>
      </w:tblGrid>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Họ và tên</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Tổng Giang Nam</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Số CCCD</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038203017635</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Địa chỉ thường trú</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Ngõ 68 Cầu Giấy, Cầu Giấy, Hà Nội</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Điện thoại</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0859386636</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Email</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tongnam59@gmail.com</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Tư cách</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Chủ sở hữu và người đại diện thương hiệu AURA &amp; CO, website aura.maxmin.vn</w:t>
            </w:r>
          </w:p>
        </w:tc>
      </w:tr>
    </w:tbl>
    <w:p>
      <w:pPr>
        <w:spacing w:after="160" w:before="0" w:line="312" w:lineRule="auto"/>
        <w:jc w:val="both"/>
      </w:pPr>
    </w:p>
    <w:p>
      <w:pPr>
        <w:spacing w:after="120" w:before="0" w:line="312" w:lineRule="auto"/>
        <w:jc w:val="left"/>
      </w:pPr>
      <w:r>
        <w:rPr>
          <w:rFonts w:ascii="Times New Roman" w:hAnsi="Times New Roman" w:cs="Times New Roman" w:eastAsia="Times New Roman"/>
          <w:b/>
          <w:i w:val="0"/>
          <w:color w:val="000000"/>
          <w:sz w:val="25"/>
        </w:rPr>
        <w:t>BÊN B - BÊN CUNG CẤP DỊCH VỤ</w:t>
      </w:r>
    </w:p>
    <w:tbl>
      <w:tblPr>
        <w:tblW w:type="auto" w:w="0"/>
        <w:jc w:val="center"/>
        <w:tblLayout w:type="fixed"/>
        <w:tblLook w:firstColumn="1" w:firstRow="1" w:lastColumn="0" w:lastRow="0" w:noHBand="0" w:noVBand="1" w:val="04A0"/>
      </w:tblPr>
      <w:tblGrid>
        <w:gridCol w:w="4986"/>
        <w:gridCol w:w="4986"/>
      </w:tblGrid>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Công ty</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CÔNG TY TNHH MTV ALODEV</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Địa chỉ</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Nhà số 17 ngõ 74 Nguyễn Chính, tổ 25, phường Hoàng Mai, TP Hà Nội</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Điện thoại</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0939526292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Mã số thuế</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0111526292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Đại diện</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TRẦN CÔNG THẮNG - Giám đốc</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Số tài khoản</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111526292</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Ngân hàng</w:t>
            </w:r>
          </w:p>
        </w:tc>
        <w:tc>
          <w:tcPr>
            <w:tcW w:type="dxa" w:w="703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Ngân hàng Thương mại Cổ phần Kỹ Thương Việt Nam (Techcombank) - Chi nhánh Đống Đa</w:t>
            </w:r>
          </w:p>
        </w:tc>
      </w:tr>
    </w:tbl>
    <w:p>
      <w:pPr>
        <w:spacing w:after="160" w:before="0" w:line="312" w:lineRule="auto"/>
        <w:jc w:val="both"/>
      </w:pPr>
    </w:p>
    <w:p>
      <w:pPr>
        <w:spacing w:after="160" w:before="0" w:line="312" w:lineRule="auto"/>
        <w:jc w:val="both"/>
      </w:pPr>
      <w:r>
        <w:rPr>
          <w:rFonts w:ascii="Times New Roman" w:hAnsi="Times New Roman" w:cs="Times New Roman" w:eastAsia="Times New Roman"/>
          <w:b w:val="0"/>
          <w:i w:val="0"/>
          <w:color w:val="000000"/>
          <w:sz w:val="24"/>
        </w:rPr>
        <w:t>Sau khi bàn bạc, hai bên thống nhất ký kết Hợp đồng bổ sung này với các điều khoản sau:</w:t>
      </w:r>
    </w:p>
    <w:p>
      <w:pPr>
        <w:spacing w:after="120" w:before="240" w:line="312" w:lineRule="auto"/>
        <w:jc w:val="left"/>
      </w:pPr>
      <w:r>
        <w:rPr>
          <w:rFonts w:ascii="Times New Roman" w:hAnsi="Times New Roman" w:cs="Times New Roman" w:eastAsia="Times New Roman"/>
          <w:b/>
          <w:i w:val="0"/>
          <w:color w:val="000000"/>
          <w:sz w:val="25"/>
        </w:rPr>
        <w:t>ĐIỀU 1: GIẢI THÍCH TỪ NGỮ</w:t>
      </w:r>
    </w:p>
    <w:p>
      <w:pPr>
        <w:spacing w:after="120" w:before="0" w:line="312" w:lineRule="auto"/>
        <w:jc w:val="both"/>
      </w:pPr>
      <w:r>
        <w:rPr>
          <w:rFonts w:ascii="Times New Roman" w:hAnsi="Times New Roman" w:cs="Times New Roman" w:eastAsia="Times New Roman"/>
          <w:b w:val="0"/>
          <w:i w:val="0"/>
          <w:color w:val="000000"/>
          <w:sz w:val="24"/>
        </w:rPr>
        <w:t>1.1. Các từ ngữ đã được giải thích tại Điều 1 của Hợp đồng gốc và các Hợp đồng bổ sung số 01/2026/HĐBS, 02/2026/HĐBS được giữ nguyên cách hiểu trong Hợp đồng bổ sung này.</w:t>
      </w:r>
    </w:p>
    <w:p>
      <w:pPr>
        <w:spacing w:after="120" w:before="0" w:line="312" w:lineRule="auto"/>
        <w:jc w:val="both"/>
      </w:pPr>
      <w:r>
        <w:rPr>
          <w:rFonts w:ascii="Times New Roman" w:hAnsi="Times New Roman" w:cs="Times New Roman" w:eastAsia="Times New Roman"/>
          <w:b w:val="0"/>
          <w:i w:val="0"/>
          <w:color w:val="000000"/>
          <w:sz w:val="24"/>
        </w:rPr>
        <w:t>1.2. “Dịch vụ gửi email” là nền tảng gửi email tự động của bên thứ ba (Resend) do Bên A đăng ký và đứng tên tài khoản.</w:t>
      </w:r>
    </w:p>
    <w:p>
      <w:pPr>
        <w:spacing w:after="120" w:before="0" w:line="312" w:lineRule="auto"/>
        <w:jc w:val="both"/>
      </w:pPr>
      <w:r>
        <w:rPr>
          <w:rFonts w:ascii="Times New Roman" w:hAnsi="Times New Roman" w:cs="Times New Roman" w:eastAsia="Times New Roman"/>
          <w:b w:val="0"/>
          <w:i w:val="0"/>
          <w:color w:val="000000"/>
          <w:sz w:val="24"/>
        </w:rPr>
        <w:t>1.3. “Cổng thanh toán” là dịch vụ trung gian thanh toán trực tuyến của bên thứ ba, cho phép khách hàng thanh toán trực tiếp trên website bằng thẻ hoặc ví điện tử, và trả kết quả giao dịch về hệ thống một cách tự động.</w:t>
      </w:r>
    </w:p>
    <w:p>
      <w:pPr>
        <w:spacing w:after="120" w:before="0" w:line="312" w:lineRule="auto"/>
        <w:jc w:val="both"/>
      </w:pPr>
      <w:r>
        <w:rPr>
          <w:rFonts w:ascii="Times New Roman" w:hAnsi="Times New Roman" w:cs="Times New Roman" w:eastAsia="Times New Roman"/>
          <w:b w:val="0"/>
          <w:i w:val="0"/>
          <w:color w:val="000000"/>
          <w:sz w:val="24"/>
        </w:rPr>
        <w:t>1.4. “Tài khoản người bán” (merchant account) là tài khoản do Bên A đăng ký và đứng tên tại Airwallex, kèm theo các thông tin xác thực kỹ thuật (Client ID, API Key, Webhook Secret) cần thiết để kết nối hệ thống.</w:t>
      </w:r>
    </w:p>
    <w:p>
      <w:pPr>
        <w:spacing w:after="120" w:before="0" w:line="312" w:lineRule="auto"/>
        <w:jc w:val="both"/>
      </w:pPr>
      <w:r>
        <w:rPr>
          <w:rFonts w:ascii="Times New Roman" w:hAnsi="Times New Roman" w:cs="Times New Roman" w:eastAsia="Times New Roman"/>
          <w:b w:val="0"/>
          <w:i w:val="0"/>
          <w:color w:val="000000"/>
          <w:sz w:val="24"/>
        </w:rPr>
        <w:t>1.5. “Webhook” là cơ chế cổng thanh toán chủ động gửi thông báo kết quả giao dịch về máy chủ của website, giúp hệ thống cập nhật trạng thái đơn hàng tự động mà không phụ thuộc thao tác thủ công.</w:t>
      </w:r>
    </w:p>
    <w:p>
      <w:pPr>
        <w:spacing w:after="120" w:before="240" w:line="312" w:lineRule="auto"/>
        <w:jc w:val="left"/>
      </w:pPr>
      <w:r>
        <w:rPr>
          <w:rFonts w:ascii="Times New Roman" w:hAnsi="Times New Roman" w:cs="Times New Roman" w:eastAsia="Times New Roman"/>
          <w:b/>
          <w:i w:val="0"/>
          <w:color w:val="000000"/>
          <w:sz w:val="25"/>
        </w:rPr>
        <w:t>ĐIỀU 2: NỘI DUNG HỢP ĐỒNG BỔ SUNG</w:t>
      </w:r>
    </w:p>
    <w:p>
      <w:pPr>
        <w:spacing w:after="120" w:before="0" w:line="312" w:lineRule="auto"/>
        <w:jc w:val="both"/>
      </w:pPr>
      <w:r>
        <w:rPr>
          <w:rFonts w:ascii="Times New Roman" w:hAnsi="Times New Roman" w:cs="Times New Roman" w:eastAsia="Times New Roman"/>
          <w:b w:val="0"/>
          <w:i w:val="0"/>
          <w:color w:val="000000"/>
          <w:sz w:val="24"/>
        </w:rPr>
        <w:t>2.1. Bên A giao và Bên B nhận thực hiện hai hạng mục độc lập: (a) gửi email tự động khi phát sinh đơn hàng, liên hệ hoặc đăng ký nhận tin; (b) tích hợp cổng thanh toán trực tuyến Airwallex vào website AURA &amp; CO tại aura.maxmin.vn.</w:t>
      </w:r>
    </w:p>
    <w:p>
      <w:pPr>
        <w:spacing w:after="120" w:before="0" w:line="312" w:lineRule="auto"/>
        <w:jc w:val="both"/>
      </w:pPr>
      <w:r>
        <w:rPr>
          <w:rFonts w:ascii="Times New Roman" w:hAnsi="Times New Roman" w:cs="Times New Roman" w:eastAsia="Times New Roman"/>
          <w:b w:val="0"/>
          <w:i w:val="0"/>
          <w:color w:val="000000"/>
          <w:sz w:val="24"/>
        </w:rPr>
        <w:t>2.2. Nội dung công việc tại Hợp đồng bổ sung này thuộc các hạng mục đã được ghi nhận là “Không thuộc phạm vi” tại Hợp đồng gốc và Hợp đồng bổ sung số 01/2026/HĐBS, nay được hai Bên thống nhất đưa vào thực hiện theo Hợp đồng bổ sung này.</w:t>
      </w:r>
    </w:p>
    <w:p>
      <w:pPr>
        <w:spacing w:after="120" w:before="0" w:line="312" w:lineRule="auto"/>
        <w:jc w:val="both"/>
      </w:pPr>
      <w:r>
        <w:rPr>
          <w:rFonts w:ascii="Times New Roman" w:hAnsi="Times New Roman" w:cs="Times New Roman" w:eastAsia="Times New Roman"/>
          <w:b w:val="0"/>
          <w:i w:val="0"/>
          <w:color w:val="000000"/>
          <w:sz w:val="24"/>
        </w:rPr>
        <w:t>2.3. Toàn bộ các hạng mục thuộc phạm vi Hợp đồng gốc, Hợp đồng bổ sung số 01/2026/HĐBS và số 02/2026/HĐBS không thuộc phạm vi Hợp đồng bổ sung này, đã được hai Bên nghiệm thu và thanh toán riêng.</w:t>
      </w:r>
    </w:p>
    <w:p>
      <w:pPr>
        <w:spacing w:after="120" w:before="0" w:line="312" w:lineRule="auto"/>
        <w:jc w:val="both"/>
      </w:pPr>
      <w:r>
        <w:rPr>
          <w:rFonts w:ascii="Times New Roman" w:hAnsi="Times New Roman" w:cs="Times New Roman" w:eastAsia="Times New Roman"/>
          <w:b w:val="0"/>
          <w:i w:val="0"/>
          <w:color w:val="000000"/>
          <w:sz w:val="24"/>
        </w:rPr>
        <w:t>2.4. Cổng thanh toán được tích hợp là: Airwallex, cho phép khách hàng ở nước ngoài (bao gồm khách hàng tại Hoa Kỳ và châu Âu) thanh toán trực tuyến bằng thẻ tín dụng, PayPal hoặc Klarna trong cùng một lần tích hợp; tiền được chuyển về tài khoản ngân hàng tại Việt Nam đứng tên Bên A.</w:t>
      </w:r>
    </w:p>
    <w:p>
      <w:pPr>
        <w:spacing w:after="120" w:before="0" w:line="312" w:lineRule="auto"/>
        <w:jc w:val="both"/>
      </w:pPr>
      <w:r>
        <w:rPr>
          <w:rFonts w:ascii="Times New Roman" w:hAnsi="Times New Roman" w:cs="Times New Roman" w:eastAsia="Times New Roman"/>
          <w:b w:val="0"/>
          <w:i w:val="0"/>
          <w:color w:val="000000"/>
          <w:sz w:val="24"/>
        </w:rPr>
        <w:t>2.5. Phạm vi Hợp đồng bổ sung này chỉ bao gồm 01 (một) cổng thanh toán duy nhất nêu tại khoản 2.4. Bất kỳ cổng thanh toán nào khác đều không thuộc phạm vi Hợp đồng bổ sung này; nếu Bên A có nhu cầu tích hợp thêm, hai Bên sẽ lập phụ lục hợp đồng riêng và thỏa thuận giá trị tương ứng theo Điều 13.</w:t>
      </w:r>
    </w:p>
    <w:p>
      <w:pPr>
        <w:spacing w:after="120" w:before="0" w:line="312" w:lineRule="auto"/>
        <w:jc w:val="both"/>
      </w:pPr>
      <w:r>
        <w:rPr>
          <w:rFonts w:ascii="Times New Roman" w:hAnsi="Times New Roman" w:cs="Times New Roman" w:eastAsia="Times New Roman"/>
          <w:b w:val="0"/>
          <w:i w:val="0"/>
          <w:color w:val="000000"/>
          <w:sz w:val="24"/>
        </w:rPr>
        <w:t>2.6. Hợp đồng bổ sung này là phụ lục không tách rời của Hợp đồng gốc theo quy định tại Điều 10, khoản 10.2 của Hợp đồng gốc.</w:t>
      </w:r>
    </w:p>
    <w:p>
      <w:pPr>
        <w:spacing w:after="120" w:before="240" w:line="312" w:lineRule="auto"/>
        <w:jc w:val="left"/>
      </w:pPr>
      <w:r>
        <w:rPr>
          <w:rFonts w:ascii="Times New Roman" w:hAnsi="Times New Roman" w:cs="Times New Roman" w:eastAsia="Times New Roman"/>
          <w:b/>
          <w:i w:val="0"/>
          <w:color w:val="000000"/>
          <w:sz w:val="25"/>
        </w:rPr>
        <w:t>ĐIỀU 3: PHẠM VI CÔNG VIỆC VÀ GIÁ TRỊ HẠNG MỤC</w:t>
      </w:r>
    </w:p>
    <w:p>
      <w:pPr>
        <w:spacing w:after="160" w:before="0" w:line="312" w:lineRule="auto"/>
        <w:jc w:val="both"/>
      </w:pPr>
      <w:r>
        <w:rPr>
          <w:rFonts w:ascii="Times New Roman" w:hAnsi="Times New Roman" w:cs="Times New Roman" w:eastAsia="Times New Roman"/>
          <w:b w:val="0"/>
          <w:i w:val="0"/>
          <w:color w:val="000000"/>
          <w:sz w:val="24"/>
        </w:rPr>
        <w:t>3.1. Bên B thực hiện đúng và đủ các hạng mục dưới đây, chia thành 2 hạng mục độc lập. Đơn giá đã bao gồm thuế giá trị gia tăng (VAT):</w:t>
      </w:r>
    </w:p>
    <w:p>
      <w:pPr>
        <w:spacing w:after="100" w:before="160" w:line="312" w:lineRule="auto"/>
        <w:jc w:val="left"/>
      </w:pPr>
      <w:r>
        <w:rPr>
          <w:rFonts w:ascii="Times New Roman" w:hAnsi="Times New Roman" w:cs="Times New Roman" w:eastAsia="Times New Roman"/>
          <w:b/>
          <w:i w:val="0"/>
          <w:color w:val="000000"/>
          <w:sz w:val="24"/>
        </w:rPr>
        <w:t>HẠNG MỤC A - GỬI EMAIL TỰ ĐỘNG</w:t>
      </w:r>
    </w:p>
    <w:tbl>
      <w:tblPr>
        <w:tblW w:type="auto" w:w="0"/>
        <w:jc w:val="center"/>
        <w:tblLayout w:type="fixed"/>
        <w:tblLook w:firstColumn="1" w:firstRow="1" w:lastColumn="0" w:lastRow="0" w:noHBand="0" w:noVBand="1" w:val="04A0"/>
      </w:tblPr>
      <w:tblGrid>
        <w:gridCol w:w="1995"/>
        <w:gridCol w:w="1995"/>
        <w:gridCol w:w="1995"/>
        <w:gridCol w:w="1995"/>
        <w:gridCol w:w="1995"/>
      </w:tblGrid>
      <w:tr>
        <w:trPr>
          <w:tblHeader w:val="true"/>
        </w:trP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STT</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Hạng mục</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Mô tả chi tiết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Nội dung bàn giao</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Thành tiền</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Email xác nhận đơn hàng</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Tự động gửi email xác nhận cho khách hàng ngay khi đặt hàng thành công, gồm mã đơn hàng, danh sách sản phẩm và tổng giá trị.</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Email xác nhận đơn hàng hoạt động tự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Email thông báo liên hệ</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Tự động gửi email cho quản trị viên khi có khách điền form liên hệ trên website.</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Email thông báo liên hệ hoạt động tự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3</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Email chào mừng đăng ký nhận tin</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Tự động gửi email chào mừng khi khách đăng ký nhận tin qua popup ưu đãi.</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Email chào mừng hoạt động tự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bl>
    <w:p>
      <w:pPr>
        <w:spacing w:after="200" w:before="80" w:line="312" w:lineRule="auto"/>
        <w:jc w:val="left"/>
      </w:pPr>
      <w:r>
        <w:rPr>
          <w:rFonts w:ascii="Times New Roman" w:hAnsi="Times New Roman" w:cs="Times New Roman" w:eastAsia="Times New Roman"/>
          <w:b/>
          <w:i w:val="0"/>
          <w:color w:val="000000"/>
          <w:sz w:val="24"/>
        </w:rPr>
        <w:t>TỔNG GIÁ TRỊ HẠNG MỤC A (đã bao gồm VAT): .................... đồng.</w:t>
      </w:r>
    </w:p>
    <w:p>
      <w:pPr>
        <w:spacing w:after="100" w:before="160" w:line="312" w:lineRule="auto"/>
        <w:jc w:val="left"/>
      </w:pPr>
      <w:r>
        <w:rPr>
          <w:rFonts w:ascii="Times New Roman" w:hAnsi="Times New Roman" w:cs="Times New Roman" w:eastAsia="Times New Roman"/>
          <w:b/>
          <w:i w:val="0"/>
          <w:color w:val="000000"/>
          <w:sz w:val="24"/>
        </w:rPr>
        <w:t>HẠNG MỤC B - TÍCH HỢP CỔNG THANH TOÁN AIRWALLEX</w:t>
      </w:r>
    </w:p>
    <w:tbl>
      <w:tblPr>
        <w:tblW w:type="auto" w:w="0"/>
        <w:jc w:val="center"/>
        <w:tblLayout w:type="fixed"/>
        <w:tblLook w:firstColumn="1" w:firstRow="1" w:lastColumn="0" w:lastRow="0" w:noHBand="0" w:noVBand="1" w:val="04A0"/>
      </w:tblPr>
      <w:tblGrid>
        <w:gridCol w:w="1995"/>
        <w:gridCol w:w="1995"/>
        <w:gridCol w:w="1995"/>
        <w:gridCol w:w="1995"/>
        <w:gridCol w:w="1995"/>
      </w:tblGrid>
      <w:tr>
        <w:trPr>
          <w:tblHeader w:val="true"/>
        </w:trP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STT</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Hạng mục</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Mô tả chi tiết</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Nội dung bàn giao</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1"/>
              </w:rPr>
              <w:t>Thành tiền</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1</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Kết nối kỹ thuật với Airwallex</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Tích hợp API Airwallex vào máy chủ website; cấu hình Client ID, API Key và các tham số kết nối cho cả môi trường thử nghiệm và môi trường chính thức.</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Kết nối kỹ thuật giữa website và Airwallex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2</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Luồng thanh toán trên trang Checkout</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Khách hàng chọn phương thức (thẻ, PayPal hoặc Klarna tùy Airwallex bật) và hoàn tất giao dịch trên trang thanh toán an toàn của Airwallex.</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thanh toán trực tuyến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3</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Nhận và xử lý kết quả giao dịch tự động</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Xây dựng điểm tiếp nhận webhook từ Airwallex; xác thực chữ ký, chống trùng lặp và chống giả mạo thông báo; ghi nhận kết quả giao dịch vào cơ sở dữ liệu.</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Cơ chế tiếp nhận kết quả giao dịch tự động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4</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Cập nhật trạng thái đơn hàng tự động</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Đơn hàng tự động ghi nhận trạng thái thanh toán khi giao dịch thành công, không cần quản trị viên xác nhận thủ công.</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Chức năng cập nhật trạng thái thanh toán tự động hoạt động trên hệ thống</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5</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Màn hình quản trị giao dịch</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Bổ sung màn hình theo dõi giao dịch Airwallex trong trang quản trị: mã giao dịch, số tiền, trạng thái, thời gian.</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Màn hình quản trị giao dịch hoạt động trên trang quản trị</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r>
        <w:tc>
          <w:tcPr>
            <w:tcW w:type="dxa" w:w="56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6</w:t>
            </w:r>
          </w:p>
        </w:tc>
        <w:tc>
          <w:tcPr>
            <w:tcW w:type="dxa" w:w="187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Kiểm thử, triển khai và bàn giao</w:t>
            </w:r>
          </w:p>
        </w:tc>
        <w:tc>
          <w:tcPr>
            <w:tcW w:type="dxa" w:w="3175"/>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Kiểm thử toàn bộ luồng trên môi trường thử nghiệm (demo) của Airwallex; chuyển sang môi trường chính thức và kiểm thử bằng giao dịch thật; hướng dẫn vận hành cho Bên A.</w:t>
            </w:r>
          </w:p>
        </w:tc>
        <w:tc>
          <w:tcPr>
            <w:tcW w:type="dxa" w:w="232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1"/>
              </w:rPr>
              <w:t>Cấu hình môi trường chính thức đã kích hoạt và tài liệu hướng dẫn vận hành bằng văn bản</w:t>
            </w:r>
          </w:p>
        </w:tc>
        <w:tc>
          <w:tcPr>
            <w:tcW w:type="dxa" w:w="113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1"/>
              </w:rPr>
              <w:t>Đã bao gồm</w:t>
            </w:r>
          </w:p>
        </w:tc>
      </w:tr>
    </w:tbl>
    <w:p>
      <w:pPr>
        <w:spacing w:after="200" w:before="80" w:line="312" w:lineRule="auto"/>
        <w:jc w:val="left"/>
      </w:pPr>
      <w:r>
        <w:rPr>
          <w:rFonts w:ascii="Times New Roman" w:hAnsi="Times New Roman" w:cs="Times New Roman" w:eastAsia="Times New Roman"/>
          <w:b/>
          <w:i w:val="0"/>
          <w:color w:val="000000"/>
          <w:sz w:val="24"/>
        </w:rPr>
        <w:t>TỔNG GIÁ TRỊ HẠNG MỤC B (đã bao gồm VAT): .................... đồng.</w:t>
      </w:r>
    </w:p>
    <w:p>
      <w:pPr>
        <w:spacing w:after="200" w:before="120" w:line="312" w:lineRule="auto"/>
        <w:jc w:val="left"/>
      </w:pPr>
      <w:r>
        <w:rPr>
          <w:rFonts w:ascii="Times New Roman" w:hAnsi="Times New Roman" w:cs="Times New Roman" w:eastAsia="Times New Roman"/>
          <w:b/>
          <w:i w:val="0"/>
          <w:color w:val="000000"/>
          <w:sz w:val="25"/>
        </w:rPr>
        <w:t>TỔNG GIÁ TRỊ HỢP ĐỒNG BỔ SUNG (Hạng mục A + Hạng mục B): .................... đồng.</w:t>
      </w:r>
    </w:p>
    <w:p>
      <w:pPr>
        <w:spacing w:after="160" w:before="0" w:line="312" w:lineRule="auto"/>
        <w:jc w:val="both"/>
      </w:pPr>
      <w:r>
        <w:rPr>
          <w:rFonts w:ascii="Times New Roman" w:hAnsi="Times New Roman" w:cs="Times New Roman" w:eastAsia="Times New Roman"/>
          <w:b w:val="0"/>
          <w:i w:val="0"/>
          <w:color w:val="000000"/>
          <w:sz w:val="24"/>
        </w:rPr>
        <w:t>3.2. Các nội dung sau không thuộc phạm vi công việc của Hợp đồng bổ sung này. Nếu Bên A có nhu cầu, hai bên sẽ lập phụ lục hợp đồng riêng theo Điều 13:</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Nội dung</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Tình trạng</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Chi phí thuê bao dịch vụ Resend và Airwallex, phí giao dịch, phí duy trì tài khoản do các đơn vị này thu</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Đăng ký, hoàn thiện hồ sơ và xin xét duyệt tài khoản với Resend/Airwallex</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Thiết kế lại mẫu (template) email hoặc gửi email marketing hàng loạt định kỳ</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Tích hợp cổng thanh toán thứ hai trở đi ngoài Airwallex đã thống nhất tại Điều 2, khoản 2.4</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Chức năng hoàn tiền tự động (refund) qua Airwallex</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Thanh toán định kỳ, thanh toán trả góp ngoài phạm vi mặc định của Klarna, lưu thẻ cho lần mua sau</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Đối soát tự động với phần mềm kế toán hoặc hệ thống của bên thứ ba</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Tích hợp đơn vị vận chuyển và tính phí vận chuyển tự động</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r>
        <w:tc>
          <w:tcPr>
            <w:tcW w:type="dxa" w:w="6520"/>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Chứng nhận tiêu chuẩn bảo mật thẻ thanh toán (PCI DSS) cho Bên A</w:t>
            </w:r>
          </w:p>
        </w:tc>
        <w:tc>
          <w:tcPr>
            <w:tcW w:type="dxa" w:w="2551"/>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Không thuộc phạm vi</w:t>
            </w:r>
          </w:p>
        </w:tc>
      </w:tr>
    </w:tbl>
    <w:p>
      <w:pPr>
        <w:spacing w:after="120" w:before="240" w:line="312" w:lineRule="auto"/>
        <w:jc w:val="left"/>
      </w:pPr>
      <w:r>
        <w:rPr>
          <w:rFonts w:ascii="Times New Roman" w:hAnsi="Times New Roman" w:cs="Times New Roman" w:eastAsia="Times New Roman"/>
          <w:b/>
          <w:i w:val="0"/>
          <w:color w:val="000000"/>
          <w:sz w:val="25"/>
        </w:rPr>
        <w:t>ĐIỀU 4: THỜI GIAN THỰC HIỆN VÀ ĐIỀU KIỆN TIÊN QUYẾT</w:t>
      </w:r>
    </w:p>
    <w:p>
      <w:pPr>
        <w:spacing w:after="120" w:before="0" w:line="312" w:lineRule="auto"/>
        <w:jc w:val="both"/>
      </w:pPr>
      <w:r>
        <w:rPr>
          <w:rFonts w:ascii="Times New Roman" w:hAnsi="Times New Roman" w:cs="Times New Roman" w:eastAsia="Times New Roman"/>
          <w:b w:val="0"/>
          <w:i w:val="0"/>
          <w:color w:val="000000"/>
          <w:sz w:val="24"/>
        </w:rPr>
        <w:t>4.1. Thời gian thực hiện Hạng mục A (Email tự động): 03 (ba) ngày làm việc, kể từ ngày Bên A hoàn tất bàn giao thông tin tại khoản 4.3 và thanh toán Đợt 1 theo Điều 6.</w:t>
      </w:r>
    </w:p>
    <w:p>
      <w:pPr>
        <w:spacing w:after="120" w:before="0" w:line="312" w:lineRule="auto"/>
        <w:jc w:val="both"/>
      </w:pPr>
      <w:r>
        <w:rPr>
          <w:rFonts w:ascii="Times New Roman" w:hAnsi="Times New Roman" w:cs="Times New Roman" w:eastAsia="Times New Roman"/>
          <w:b w:val="0"/>
          <w:i w:val="0"/>
          <w:color w:val="000000"/>
          <w:sz w:val="24"/>
        </w:rPr>
        <w:t>4.2. Thời gian thực hiện Hạng mục B (Airwallex): .................... ngày làm việc, kể từ ngày Bên A hoàn tất đồng thời:</w:t>
      </w:r>
    </w:p>
    <w:p>
      <w:pPr>
        <w:spacing w:after="80" w:before="0" w:line="312" w:lineRule="auto"/>
        <w:ind w:left="283"/>
        <w:jc w:val="both"/>
      </w:pPr>
      <w:r>
        <w:rPr>
          <w:rFonts w:ascii="Times New Roman" w:hAnsi="Times New Roman" w:cs="Times New Roman" w:eastAsia="Times New Roman"/>
          <w:b w:val="0"/>
          <w:i w:val="0"/>
          <w:color w:val="000000"/>
          <w:sz w:val="24"/>
        </w:rPr>
        <w:t>- Thanh toán tương ứng theo Điều 6;</w:t>
      </w:r>
    </w:p>
    <w:p>
      <w:pPr>
        <w:spacing w:after="80" w:before="0" w:line="312" w:lineRule="auto"/>
        <w:ind w:left="283"/>
        <w:jc w:val="both"/>
      </w:pPr>
      <w:r>
        <w:rPr>
          <w:rFonts w:ascii="Times New Roman" w:hAnsi="Times New Roman" w:cs="Times New Roman" w:eastAsia="Times New Roman"/>
          <w:b w:val="0"/>
          <w:i w:val="0"/>
          <w:color w:val="000000"/>
          <w:sz w:val="24"/>
        </w:rPr>
        <w:t>- Bàn giao đầy đủ cho Bên B các thông tin, tài liệu quy định tại khoản 4.3.</w:t>
      </w:r>
    </w:p>
    <w:p>
      <w:pPr>
        <w:spacing w:after="120" w:before="80" w:line="312" w:lineRule="auto"/>
        <w:jc w:val="both"/>
      </w:pPr>
      <w:r>
        <w:rPr>
          <w:rFonts w:ascii="Times New Roman" w:hAnsi="Times New Roman" w:cs="Times New Roman" w:eastAsia="Times New Roman"/>
          <w:b w:val="0"/>
          <w:i w:val="0"/>
          <w:color w:val="000000"/>
          <w:sz w:val="24"/>
        </w:rPr>
        <w:t>4.3. Bên A có trách nhiệm cung cấp cho Bên B các nội dung sau trước khi Bên B bắt đầu thực hiện hạng mục tương ứng:</w:t>
      </w:r>
    </w:p>
    <w:p>
      <w:pPr>
        <w:spacing w:after="80" w:before="0" w:line="312" w:lineRule="auto"/>
        <w:ind w:left="283"/>
        <w:jc w:val="both"/>
      </w:pPr>
      <w:r>
        <w:rPr>
          <w:rFonts w:ascii="Times New Roman" w:hAnsi="Times New Roman" w:cs="Times New Roman" w:eastAsia="Times New Roman"/>
          <w:b w:val="0"/>
          <w:i w:val="0"/>
          <w:color w:val="000000"/>
          <w:sz w:val="24"/>
        </w:rPr>
        <w:t>- Đối với Hạng mục A: địa chỉ email gửi đi mong muốn, và xác nhận đã xác minh tên miền gửi email (bản ghi DNS) trong tài khoản Resend;</w:t>
      </w:r>
    </w:p>
    <w:p>
      <w:pPr>
        <w:spacing w:after="80" w:before="0" w:line="312" w:lineRule="auto"/>
        <w:ind w:left="283"/>
        <w:jc w:val="both"/>
      </w:pPr>
      <w:r>
        <w:rPr>
          <w:rFonts w:ascii="Times New Roman" w:hAnsi="Times New Roman" w:cs="Times New Roman" w:eastAsia="Times New Roman"/>
          <w:b w:val="0"/>
          <w:i w:val="0"/>
          <w:color w:val="000000"/>
          <w:sz w:val="24"/>
        </w:rPr>
        <w:t>- Đối với Hạng mục B: tài khoản Airwallex đã được duyệt, Client ID, API Key và Webhook Secret của cả môi trường thử nghiệm và môi trường chính thức; quyền cấu hình webhook trên trang quản trị Airwallex.</w:t>
      </w:r>
    </w:p>
    <w:p>
      <w:pPr>
        <w:spacing w:after="120" w:before="80" w:line="312" w:lineRule="auto"/>
        <w:jc w:val="both"/>
      </w:pPr>
      <w:r>
        <w:rPr>
          <w:rFonts w:ascii="Times New Roman" w:hAnsi="Times New Roman" w:cs="Times New Roman" w:eastAsia="Times New Roman"/>
          <w:b w:val="0"/>
          <w:i w:val="0"/>
          <w:color w:val="000000"/>
          <w:sz w:val="24"/>
        </w:rPr>
        <w:t>4.4. Thời gian Bên A chậm cung cấp các nội dung tại khoản 4.3, hoặc thời gian chờ Airwallex xét duyệt hồ sơ của Bên A, không tính vào thời gian thực hiện của Bên B và thời hạn thực hiện được kéo dài tương ứng.</w:t>
      </w:r>
    </w:p>
    <w:p>
      <w:pPr>
        <w:spacing w:after="120" w:before="0" w:line="312" w:lineRule="auto"/>
        <w:jc w:val="both"/>
      </w:pPr>
      <w:r>
        <w:rPr>
          <w:rFonts w:ascii="Times New Roman" w:hAnsi="Times New Roman" w:cs="Times New Roman" w:eastAsia="Times New Roman"/>
          <w:b w:val="0"/>
          <w:i w:val="0"/>
          <w:color w:val="000000"/>
          <w:sz w:val="24"/>
        </w:rPr>
        <w:t>4.5. Trường hợp Airwallex từ chối phê duyệt hồ sơ của Bên A, hoặc yêu cầu Bên A bổ sung điều kiện pháp lý mà Bên A không đáp ứng được, hai Bên thống nhất:</w:t>
      </w:r>
    </w:p>
    <w:p>
      <w:pPr>
        <w:spacing w:after="80" w:before="0" w:line="312" w:lineRule="auto"/>
        <w:ind w:left="283"/>
        <w:jc w:val="both"/>
      </w:pPr>
      <w:r>
        <w:rPr>
          <w:rFonts w:ascii="Times New Roman" w:hAnsi="Times New Roman" w:cs="Times New Roman" w:eastAsia="Times New Roman"/>
          <w:b w:val="0"/>
          <w:i w:val="0"/>
          <w:color w:val="000000"/>
          <w:sz w:val="24"/>
        </w:rPr>
        <w:t>- Bên B không chịu trách nhiệm về việc từ chối này, do việc xét duyệt thuộc thẩm quyền của Airwallex và phụ thuộc hồ sơ pháp lý của Bên A;</w:t>
      </w:r>
    </w:p>
    <w:p>
      <w:pPr>
        <w:spacing w:after="80" w:before="0" w:line="312" w:lineRule="auto"/>
        <w:ind w:left="283"/>
        <w:jc w:val="both"/>
      </w:pPr>
      <w:r>
        <w:rPr>
          <w:rFonts w:ascii="Times New Roman" w:hAnsi="Times New Roman" w:cs="Times New Roman" w:eastAsia="Times New Roman"/>
          <w:b w:val="0"/>
          <w:i w:val="0"/>
          <w:color w:val="000000"/>
          <w:sz w:val="24"/>
        </w:rPr>
        <w:t>- Hai Bên thương lượng chuyển sang cổng thanh toán khác có phạm vi công việc tương đương mà không phát sinh thêm chi phí cho Hạng mục B, hoặc tạm dừng Hạng mục B và quyết toán theo khối lượng công việc Bên B đã thực hiện; Hạng mục A không bị ảnh hưởng.</w:t>
      </w:r>
    </w:p>
    <w:p>
      <w:pPr>
        <w:spacing w:after="120" w:before="240" w:line="312" w:lineRule="auto"/>
        <w:jc w:val="left"/>
      </w:pPr>
      <w:r>
        <w:rPr>
          <w:rFonts w:ascii="Times New Roman" w:hAnsi="Times New Roman" w:cs="Times New Roman" w:eastAsia="Times New Roman"/>
          <w:b/>
          <w:i w:val="0"/>
          <w:color w:val="000000"/>
          <w:sz w:val="25"/>
        </w:rPr>
        <w:t>ĐIỀU 5: NGHIỆM THU VÀ BÀN GIAO</w:t>
      </w:r>
    </w:p>
    <w:p>
      <w:pPr>
        <w:spacing w:after="120" w:before="0" w:line="312" w:lineRule="auto"/>
        <w:jc w:val="both"/>
      </w:pPr>
      <w:r>
        <w:rPr>
          <w:rFonts w:ascii="Times New Roman" w:hAnsi="Times New Roman" w:cs="Times New Roman" w:eastAsia="Times New Roman"/>
          <w:b w:val="0"/>
          <w:i w:val="0"/>
          <w:color w:val="000000"/>
          <w:sz w:val="24"/>
        </w:rPr>
        <w:t>5.1. Mỗi hạng mục (A và B) được nghiệm thu riêng ngay khi hoàn thành, không phụ thuộc tiến độ của hạng mục còn lại. Bên B thông báo cho Bên A bằng văn bản (email hoặc tin nhắn) và đưa hạng mục đó vào trạng thái chạy thật tại aura.maxmin.vn để Bên A kiểm tra.</w:t>
      </w:r>
    </w:p>
    <w:p>
      <w:pPr>
        <w:spacing w:after="120" w:before="0" w:line="312" w:lineRule="auto"/>
        <w:jc w:val="both"/>
      </w:pPr>
      <w:r>
        <w:rPr>
          <w:rFonts w:ascii="Times New Roman" w:hAnsi="Times New Roman" w:cs="Times New Roman" w:eastAsia="Times New Roman"/>
          <w:b w:val="0"/>
          <w:i w:val="0"/>
          <w:color w:val="000000"/>
          <w:sz w:val="24"/>
        </w:rPr>
        <w:t>5.2. Trong vòng 03 (ba) ngày làm việc kể từ ngày nhận được thông báo tại khoản 5.1, Bên A có trách nhiệm kiểm tra hạng mục tương ứng và phản hồi bằng văn bản nếu phát hiện lỗi cụ thể so với phạm vi tại Điều 3.</w:t>
      </w:r>
    </w:p>
    <w:p>
      <w:pPr>
        <w:spacing w:after="120" w:before="0" w:line="312" w:lineRule="auto"/>
        <w:jc w:val="both"/>
      </w:pPr>
      <w:r>
        <w:rPr>
          <w:rFonts w:ascii="Times New Roman" w:hAnsi="Times New Roman" w:cs="Times New Roman" w:eastAsia="Times New Roman"/>
          <w:b w:val="0"/>
          <w:i w:val="0"/>
          <w:color w:val="000000"/>
          <w:sz w:val="24"/>
        </w:rPr>
        <w:t>5.3. Việc nghiệm thu Hạng mục B được thực hiện thông qua giao dịch thử nghiệm thực tế: Bên A thực hiện 01 giao dịch thanh toán thật với giá trị nhỏ để xác nhận toàn bộ luồng hoạt động đúng.</w:t>
      </w:r>
    </w:p>
    <w:p>
      <w:pPr>
        <w:spacing w:after="120" w:before="0" w:line="312" w:lineRule="auto"/>
        <w:jc w:val="both"/>
      </w:pPr>
      <w:r>
        <w:rPr>
          <w:rFonts w:ascii="Times New Roman" w:hAnsi="Times New Roman" w:cs="Times New Roman" w:eastAsia="Times New Roman"/>
          <w:b w:val="0"/>
          <w:i w:val="0"/>
          <w:color w:val="000000"/>
          <w:sz w:val="24"/>
        </w:rPr>
        <w:t>5.4. Bên A được coi là đã xác nhận nghiệm thu hoàn thành một hạng mục trong bất kỳ trường hợp nào dưới đây: xác nhận bằng lời nói, tin nhắn, email hoặc bất kỳ hình thức liên lạc nào rằng không có vấn đề; hoặc không phản hồi bằng văn bản nêu rõ lỗi cụ thể trong thời hạn quy định tại khoản 5.2.</w:t>
      </w:r>
    </w:p>
    <w:p>
      <w:pPr>
        <w:spacing w:after="120" w:before="240" w:line="312" w:lineRule="auto"/>
        <w:jc w:val="left"/>
      </w:pPr>
      <w:r>
        <w:rPr>
          <w:rFonts w:ascii="Times New Roman" w:hAnsi="Times New Roman" w:cs="Times New Roman" w:eastAsia="Times New Roman"/>
          <w:b/>
          <w:i w:val="0"/>
          <w:color w:val="000000"/>
          <w:sz w:val="25"/>
        </w:rPr>
        <w:t>ĐIỀU 6: GIÁ TRỊ HỢP ĐỒNG VÀ THANH TOÁN</w:t>
      </w:r>
    </w:p>
    <w:p>
      <w:pPr>
        <w:spacing w:after="120" w:before="0" w:line="312" w:lineRule="auto"/>
        <w:jc w:val="both"/>
      </w:pPr>
      <w:r>
        <w:rPr>
          <w:rFonts w:ascii="Times New Roman" w:hAnsi="Times New Roman" w:cs="Times New Roman" w:eastAsia="Times New Roman"/>
          <w:b w:val="0"/>
          <w:i w:val="0"/>
          <w:color w:val="000000"/>
          <w:sz w:val="24"/>
        </w:rPr>
        <w:t>6.1. Tổng giá trị Hợp đồng bổ sung là .................... đồng (Bằng chữ: ........................................), đã bao gồm thuế giá trị gia tăng (VAT).</w:t>
      </w:r>
    </w:p>
    <w:p>
      <w:pPr>
        <w:spacing w:after="120" w:before="0" w:line="312" w:lineRule="auto"/>
        <w:jc w:val="both"/>
      </w:pPr>
      <w:r>
        <w:rPr>
          <w:rFonts w:ascii="Times New Roman" w:hAnsi="Times New Roman" w:cs="Times New Roman" w:eastAsia="Times New Roman"/>
          <w:b w:val="0"/>
          <w:i w:val="0"/>
          <w:color w:val="000000"/>
          <w:sz w:val="24"/>
        </w:rPr>
        <w:t>6.2. Phương thức thanh toán: mỗi hạng mục thanh toán một (01) lần duy nhất ngay khi hạng mục đó được nghiệm thu theo Điều 5, không chờ hạng mục còn lại hoàn thành.</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566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Điều kiện thanh toán</w:t>
            </w:r>
          </w:p>
        </w:tc>
        <w:tc>
          <w:tcPr>
            <w:tcW w:type="dxa" w:w="141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Tỷ lệ</w:t>
            </w:r>
          </w:p>
        </w:tc>
        <w:tc>
          <w:tcPr>
            <w:tcW w:type="dxa" w:w="198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Số tiền (VNĐ)</w:t>
            </w:r>
          </w:p>
        </w:tc>
      </w:tr>
      <w:tr>
        <w:tc>
          <w:tcPr>
            <w:tcW w:type="dxa" w:w="566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Thanh toán khi nghiệm thu Hạng mục A (Email tự động)</w:t>
            </w:r>
          </w:p>
        </w:tc>
        <w:tc>
          <w:tcPr>
            <w:tcW w:type="dxa" w:w="141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100%</w:t>
            </w:r>
          </w:p>
        </w:tc>
        <w:tc>
          <w:tcPr>
            <w:tcW w:type="dxa" w:w="198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w:t>
            </w:r>
          </w:p>
        </w:tc>
      </w:tr>
      <w:tr>
        <w:tc>
          <w:tcPr>
            <w:tcW w:type="dxa" w:w="566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Thanh toán khi nghiệm thu Hạng mục B (Airwallex)</w:t>
            </w:r>
          </w:p>
        </w:tc>
        <w:tc>
          <w:tcPr>
            <w:tcW w:type="dxa" w:w="1417"/>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100%</w:t>
            </w:r>
          </w:p>
        </w:tc>
        <w:tc>
          <w:tcPr>
            <w:tcW w:type="dxa" w:w="198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w:t>
            </w:r>
          </w:p>
        </w:tc>
      </w:tr>
    </w:tbl>
    <w:p>
      <w:pPr>
        <w:spacing w:after="120" w:before="0" w:line="312" w:lineRule="auto"/>
        <w:jc w:val="both"/>
      </w:pPr>
    </w:p>
    <w:p>
      <w:pPr>
        <w:spacing w:after="120" w:before="0" w:line="312" w:lineRule="auto"/>
        <w:jc w:val="both"/>
      </w:pPr>
      <w:r>
        <w:rPr>
          <w:rFonts w:ascii="Times New Roman" w:hAnsi="Times New Roman" w:cs="Times New Roman" w:eastAsia="Times New Roman"/>
          <w:b w:val="0"/>
          <w:i w:val="0"/>
          <w:color w:val="000000"/>
          <w:sz w:val="24"/>
        </w:rPr>
        <w:t>6.3. Hình thức thanh toán: chuyển khoản vào tài khoản của Bên B ghi tại Hợp đồng bổ sung này. Sau khi nhận tiền, Bên B xuất hóa đơn giá trị gia tăng cho Bên A.</w:t>
      </w:r>
    </w:p>
    <w:p>
      <w:pPr>
        <w:spacing w:after="120" w:before="0" w:line="312" w:lineRule="auto"/>
        <w:jc w:val="both"/>
      </w:pPr>
      <w:r>
        <w:rPr>
          <w:rFonts w:ascii="Times New Roman" w:hAnsi="Times New Roman" w:cs="Times New Roman" w:eastAsia="Times New Roman"/>
          <w:b w:val="0"/>
          <w:i w:val="0"/>
          <w:color w:val="000000"/>
          <w:sz w:val="24"/>
        </w:rPr>
        <w:t>6.4. Phí dịch vụ bên thứ ba (Resend, Airwallex) do Bên A chịu toàn bộ, thanh toán trực tiếp cho nhà cung cấp, không qua Bên B.</w:t>
      </w:r>
    </w:p>
    <w:p>
      <w:pPr>
        <w:spacing w:after="120" w:before="0" w:line="312" w:lineRule="auto"/>
        <w:jc w:val="both"/>
      </w:pPr>
      <w:r>
        <w:rPr>
          <w:rFonts w:ascii="Times New Roman" w:hAnsi="Times New Roman" w:cs="Times New Roman" w:eastAsia="Times New Roman"/>
          <w:b w:val="0"/>
          <w:i w:val="0"/>
          <w:color w:val="000000"/>
          <w:sz w:val="24"/>
        </w:rPr>
        <w:t>6.5. Nếu Bên A chậm thanh toán quá 05 (năm) ngày làm việc kể từ ngày nghiệm thu một hạng mục mà không có lý do chính đáng, Bên B có quyền tạm ngừng quyền truy cập hạng mục đó cho đến khi Bên A hoàn tất nghĩa vụ thanh toán.</w:t>
      </w:r>
    </w:p>
    <w:p>
      <w:pPr>
        <w:spacing w:after="120" w:before="240" w:line="312" w:lineRule="auto"/>
        <w:jc w:val="left"/>
      </w:pPr>
      <w:r>
        <w:rPr>
          <w:rFonts w:ascii="Times New Roman" w:hAnsi="Times New Roman" w:cs="Times New Roman" w:eastAsia="Times New Roman"/>
          <w:b/>
          <w:i w:val="0"/>
          <w:color w:val="000000"/>
          <w:sz w:val="25"/>
        </w:rPr>
        <w:t>ĐIỀU 7: QUYỀN VÀ NGHĨA VỤ CỦA BÊN A</w:t>
      </w:r>
    </w:p>
    <w:p>
      <w:pPr>
        <w:spacing w:after="120" w:before="0" w:line="312" w:lineRule="auto"/>
        <w:jc w:val="both"/>
      </w:pPr>
      <w:r>
        <w:rPr>
          <w:rFonts w:ascii="Times New Roman" w:hAnsi="Times New Roman" w:cs="Times New Roman" w:eastAsia="Times New Roman"/>
          <w:b w:val="0"/>
          <w:i w:val="0"/>
          <w:color w:val="000000"/>
          <w:sz w:val="24"/>
        </w:rPr>
        <w:t>- Kiểm tra và phản hồi kết quả bàn giao trong thời hạn quy định tại Điều 5.</w:t>
      </w:r>
    </w:p>
    <w:p>
      <w:pPr>
        <w:spacing w:after="120" w:before="0" w:line="312" w:lineRule="auto"/>
        <w:jc w:val="both"/>
      </w:pPr>
      <w:r>
        <w:rPr>
          <w:rFonts w:ascii="Times New Roman" w:hAnsi="Times New Roman" w:cs="Times New Roman" w:eastAsia="Times New Roman"/>
          <w:b w:val="0"/>
          <w:i w:val="0"/>
          <w:color w:val="000000"/>
          <w:sz w:val="24"/>
        </w:rPr>
        <w:t>- Cung cấp thông tin, hình ảnh, nội dung cần thiết nếu có phát sinh yêu cầu điều chỉnh trong phạm vi Điều 3.</w:t>
      </w:r>
    </w:p>
    <w:p>
      <w:pPr>
        <w:spacing w:after="120" w:before="0" w:line="312" w:lineRule="auto"/>
        <w:jc w:val="both"/>
      </w:pPr>
      <w:r>
        <w:rPr>
          <w:rFonts w:ascii="Times New Roman" w:hAnsi="Times New Roman" w:cs="Times New Roman" w:eastAsia="Times New Roman"/>
          <w:b w:val="0"/>
          <w:i w:val="0"/>
          <w:color w:val="000000"/>
          <w:sz w:val="24"/>
        </w:rPr>
        <w:t>- Thanh toán đầy đủ, đúng hạn theo Điều 6.</w:t>
      </w:r>
    </w:p>
    <w:p>
      <w:pPr>
        <w:spacing w:after="120" w:before="0" w:line="312" w:lineRule="auto"/>
        <w:jc w:val="both"/>
      </w:pPr>
      <w:r>
        <w:rPr>
          <w:rFonts w:ascii="Times New Roman" w:hAnsi="Times New Roman" w:cs="Times New Roman" w:eastAsia="Times New Roman"/>
          <w:b w:val="0"/>
          <w:i w:val="0"/>
          <w:color w:val="000000"/>
          <w:sz w:val="24"/>
        </w:rPr>
        <w:t>- Tự đăng ký, đứng tên và chịu trách nhiệm về hồ sơ tài khoản Resend và Airwallex của mình.</w:t>
      </w:r>
    </w:p>
    <w:p>
      <w:pPr>
        <w:spacing w:after="120" w:before="0" w:line="312" w:lineRule="auto"/>
        <w:jc w:val="both"/>
      </w:pPr>
      <w:r>
        <w:rPr>
          <w:rFonts w:ascii="Times New Roman" w:hAnsi="Times New Roman" w:cs="Times New Roman" w:eastAsia="Times New Roman"/>
          <w:b w:val="0"/>
          <w:i w:val="0"/>
          <w:color w:val="000000"/>
          <w:sz w:val="24"/>
        </w:rPr>
        <w:t>- Tự chịu chi phí duy trì các dịch vụ bên thứ ba sau khi bàn giao.</w:t>
      </w:r>
    </w:p>
    <w:p>
      <w:pPr>
        <w:spacing w:after="120" w:before="0" w:line="312" w:lineRule="auto"/>
        <w:jc w:val="both"/>
      </w:pPr>
      <w:r>
        <w:rPr>
          <w:rFonts w:ascii="Times New Roman" w:hAnsi="Times New Roman" w:cs="Times New Roman" w:eastAsia="Times New Roman"/>
          <w:b w:val="0"/>
          <w:i w:val="0"/>
          <w:color w:val="000000"/>
          <w:sz w:val="24"/>
        </w:rPr>
        <w:t>- Các quyền và nghĩa vụ khác theo quy định pháp luật.</w:t>
      </w:r>
    </w:p>
    <w:p>
      <w:pPr>
        <w:spacing w:after="120" w:before="240" w:line="312" w:lineRule="auto"/>
        <w:jc w:val="left"/>
      </w:pPr>
      <w:r>
        <w:rPr>
          <w:rFonts w:ascii="Times New Roman" w:hAnsi="Times New Roman" w:cs="Times New Roman" w:eastAsia="Times New Roman"/>
          <w:b/>
          <w:i w:val="0"/>
          <w:color w:val="000000"/>
          <w:sz w:val="25"/>
        </w:rPr>
        <w:t>ĐIỀU 8: QUYỀN VÀ NGHĨA VỤ CỦA BÊN B</w:t>
      </w:r>
    </w:p>
    <w:p>
      <w:pPr>
        <w:spacing w:after="120" w:before="0" w:line="312" w:lineRule="auto"/>
        <w:jc w:val="both"/>
      </w:pPr>
      <w:r>
        <w:rPr>
          <w:rFonts w:ascii="Times New Roman" w:hAnsi="Times New Roman" w:cs="Times New Roman" w:eastAsia="Times New Roman"/>
          <w:b w:val="0"/>
          <w:i w:val="0"/>
          <w:color w:val="000000"/>
          <w:sz w:val="24"/>
        </w:rPr>
        <w:t>- Thực hiện đúng nội dung công việc đã thỏa thuận tại Điều 3.</w:t>
      </w:r>
    </w:p>
    <w:p>
      <w:pPr>
        <w:spacing w:after="120" w:before="0" w:line="312" w:lineRule="auto"/>
        <w:jc w:val="both"/>
      </w:pPr>
      <w:r>
        <w:rPr>
          <w:rFonts w:ascii="Times New Roman" w:hAnsi="Times New Roman" w:cs="Times New Roman" w:eastAsia="Times New Roman"/>
          <w:b w:val="0"/>
          <w:i w:val="0"/>
          <w:color w:val="000000"/>
          <w:sz w:val="24"/>
        </w:rPr>
        <w:t>- Bàn giao đầy đủ kết quả và tài liệu quy định tại Điều 9 sau khi Bên A hoàn tất nghĩa vụ thanh toán từng hạng mục.</w:t>
      </w:r>
    </w:p>
    <w:p>
      <w:pPr>
        <w:spacing w:after="120" w:before="0" w:line="312" w:lineRule="auto"/>
        <w:jc w:val="both"/>
      </w:pPr>
      <w:r>
        <w:rPr>
          <w:rFonts w:ascii="Times New Roman" w:hAnsi="Times New Roman" w:cs="Times New Roman" w:eastAsia="Times New Roman"/>
          <w:b w:val="0"/>
          <w:i w:val="0"/>
          <w:color w:val="000000"/>
          <w:sz w:val="24"/>
        </w:rPr>
        <w:t>- Bảo mật thông tin, dữ liệu, khóa API của Bên A, không tiết lộ cho bên thứ ba khi chưa có sự đồng ý.</w:t>
      </w:r>
    </w:p>
    <w:p>
      <w:pPr>
        <w:spacing w:after="120" w:before="0" w:line="312" w:lineRule="auto"/>
        <w:jc w:val="both"/>
      </w:pPr>
      <w:r>
        <w:rPr>
          <w:rFonts w:ascii="Times New Roman" w:hAnsi="Times New Roman" w:cs="Times New Roman" w:eastAsia="Times New Roman"/>
          <w:b w:val="0"/>
          <w:i w:val="0"/>
          <w:color w:val="000000"/>
          <w:sz w:val="24"/>
        </w:rPr>
        <w:t>- Hỗ trợ Bên A trong phạm vi bảo hành quy định tại Điều 10.</w:t>
      </w:r>
    </w:p>
    <w:p>
      <w:pPr>
        <w:spacing w:after="120" w:before="0" w:line="312" w:lineRule="auto"/>
        <w:jc w:val="both"/>
      </w:pPr>
      <w:r>
        <w:rPr>
          <w:rFonts w:ascii="Times New Roman" w:hAnsi="Times New Roman" w:cs="Times New Roman" w:eastAsia="Times New Roman"/>
          <w:b w:val="0"/>
          <w:i w:val="0"/>
          <w:color w:val="000000"/>
          <w:sz w:val="24"/>
        </w:rPr>
        <w:t>- Các quyền và nghĩa vụ khác theo quy định pháp luật.</w:t>
      </w:r>
    </w:p>
    <w:p>
      <w:pPr>
        <w:spacing w:after="120" w:before="240" w:line="312" w:lineRule="auto"/>
        <w:jc w:val="left"/>
      </w:pPr>
      <w:r>
        <w:rPr>
          <w:rFonts w:ascii="Times New Roman" w:hAnsi="Times New Roman" w:cs="Times New Roman" w:eastAsia="Times New Roman"/>
          <w:b/>
          <w:i w:val="0"/>
          <w:color w:val="000000"/>
          <w:sz w:val="25"/>
        </w:rPr>
        <w:t>ĐIỀU 9: DANH MỤC BÀN GIAO</w:t>
      </w:r>
    </w:p>
    <w:p>
      <w:pPr>
        <w:spacing w:after="160" w:before="0" w:line="312" w:lineRule="auto"/>
        <w:jc w:val="both"/>
      </w:pPr>
      <w:r>
        <w:rPr>
          <w:rFonts w:ascii="Times New Roman" w:hAnsi="Times New Roman" w:cs="Times New Roman" w:eastAsia="Times New Roman"/>
          <w:b w:val="0"/>
          <w:i w:val="0"/>
          <w:color w:val="000000"/>
          <w:sz w:val="24"/>
        </w:rPr>
        <w:t>Khi Bên A hoàn tất thanh toán từng hạng mục theo Điều 6, Bên B bàn giao đầy đủ cho Bên A các nội dung sau thuộc phạm vi hạng mục tương ứng:</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Nhóm</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Nội dung bàn giao</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Mã nguồn tích hợp</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Toàn bộ mã nguồn phần gửi email tự động (Hạng mục A) và tích hợp cổng thanh toán Airwallex (Hạng mục B) đã phát triển trong phạm vi Điều 3</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Cấu hình và khóa kết nối</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Thông tin cấu hình dịch vụ Resend; Client ID, API Key, Webhook Secret Airwallex do Bên B thiết lập trong quá trình triển khai, nếu có</w:t>
            </w:r>
          </w:p>
        </w:tc>
      </w:tr>
      <w:tr>
        <w:tc>
          <w:tcPr>
            <w:tcW w:type="dxa" w:w="260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Tài liệu</w:t>
            </w:r>
          </w:p>
        </w:tc>
        <w:tc>
          <w:tcPr>
            <w:tcW w:type="dxa" w:w="6463"/>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Tài liệu hướng dẫn vận hành, theo dõi giao dịch và xử lý sự cố liên quan đến Email và Airwallex bằng văn bản</w:t>
            </w:r>
          </w:p>
        </w:tc>
      </w:tr>
    </w:tbl>
    <w:p>
      <w:pPr>
        <w:spacing w:after="120" w:before="240" w:line="312" w:lineRule="auto"/>
        <w:jc w:val="left"/>
      </w:pPr>
      <w:r>
        <w:rPr>
          <w:rFonts w:ascii="Times New Roman" w:hAnsi="Times New Roman" w:cs="Times New Roman" w:eastAsia="Times New Roman"/>
          <w:b/>
          <w:i w:val="0"/>
          <w:color w:val="000000"/>
          <w:sz w:val="25"/>
        </w:rPr>
        <w:t>ĐIỀU 10: BẢO HÀNH KỸ THUẬT VÀ HỖ TRỢ SAU BÀN GIAO</w:t>
      </w:r>
    </w:p>
    <w:p>
      <w:pPr>
        <w:spacing w:after="80" w:before="160" w:line="312" w:lineRule="auto"/>
        <w:jc w:val="left"/>
      </w:pPr>
      <w:r>
        <w:rPr>
          <w:rFonts w:ascii="Times New Roman" w:hAnsi="Times New Roman" w:cs="Times New Roman" w:eastAsia="Times New Roman"/>
          <w:b/>
          <w:i w:val="0"/>
          <w:color w:val="000000"/>
          <w:sz w:val="24"/>
        </w:rPr>
        <w:t>10.1. Thời hạn bảo hành</w:t>
      </w:r>
    </w:p>
    <w:p>
      <w:pPr>
        <w:spacing w:after="120" w:before="0" w:line="312" w:lineRule="auto"/>
        <w:jc w:val="both"/>
      </w:pPr>
      <w:r>
        <w:rPr>
          <w:rFonts w:ascii="Times New Roman" w:hAnsi="Times New Roman" w:cs="Times New Roman" w:eastAsia="Times New Roman"/>
          <w:b w:val="0"/>
          <w:i w:val="0"/>
          <w:color w:val="000000"/>
          <w:sz w:val="24"/>
        </w:rPr>
        <w:t>Bên B bảo hành trọn đời các lỗi phát sinh từ mã nguồn do Bên B phát triển trong phạm vi Điều 3, bao gồm lỗi chức năng không hoạt động đúng như đã nghiệm thu, lỗi xử lý dữ liệu và lỗi kết nối với Resend/Airwallex, kể từ ngày Bên A xác nhận nghiệm thu hạng mục tương ứng theo Điều 5.</w:t>
      </w:r>
    </w:p>
    <w:p>
      <w:pPr>
        <w:spacing w:after="80" w:before="160" w:line="312" w:lineRule="auto"/>
        <w:jc w:val="left"/>
      </w:pPr>
      <w:r>
        <w:rPr>
          <w:rFonts w:ascii="Times New Roman" w:hAnsi="Times New Roman" w:cs="Times New Roman" w:eastAsia="Times New Roman"/>
          <w:b/>
          <w:i w:val="0"/>
          <w:color w:val="000000"/>
          <w:sz w:val="24"/>
        </w:rPr>
        <w:t>10.2. Phạm vi bảo hành</w:t>
      </w:r>
    </w:p>
    <w:p>
      <w:pPr>
        <w:spacing w:after="80" w:before="0" w:line="312" w:lineRule="auto"/>
        <w:jc w:val="both"/>
      </w:pPr>
      <w:r>
        <w:rPr>
          <w:rFonts w:ascii="Times New Roman" w:hAnsi="Times New Roman" w:cs="Times New Roman" w:eastAsia="Times New Roman"/>
          <w:b w:val="0"/>
          <w:i w:val="0"/>
          <w:color w:val="000000"/>
          <w:sz w:val="24"/>
        </w:rPr>
        <w:t>Bảo hành bao gồm việc kiểm tra và khắc phục các lỗi phát sinh trực tiếp từ mã nguồn do Bên B phát triển trong phạm vi Hợp đồng bổ sung, bao gồm nhưng không giới hạn ở:</w:t>
      </w:r>
    </w:p>
    <w:p>
      <w:pPr>
        <w:spacing w:after="80" w:before="0" w:line="312" w:lineRule="auto"/>
        <w:ind w:left="340"/>
        <w:jc w:val="both"/>
      </w:pPr>
      <w:r>
        <w:rPr>
          <w:rFonts w:ascii="Times New Roman" w:hAnsi="Times New Roman" w:cs="Times New Roman" w:eastAsia="Times New Roman"/>
          <w:b w:val="0"/>
          <w:i w:val="0"/>
          <w:color w:val="000000"/>
          <w:sz w:val="24"/>
        </w:rPr>
        <w:t>- Email xác nhận đơn hàng, thông báo liên hệ hoặc chào mừng đăng ký không được gửi hoặc gửi sai nội dung do lỗi mã nguồn của Bên B.</w:t>
      </w:r>
    </w:p>
    <w:p>
      <w:pPr>
        <w:spacing w:after="80" w:before="0" w:line="312" w:lineRule="auto"/>
        <w:ind w:left="340"/>
        <w:jc w:val="both"/>
      </w:pPr>
      <w:r>
        <w:rPr>
          <w:rFonts w:ascii="Times New Roman" w:hAnsi="Times New Roman" w:cs="Times New Roman" w:eastAsia="Times New Roman"/>
          <w:b w:val="0"/>
          <w:i w:val="0"/>
          <w:color w:val="000000"/>
          <w:sz w:val="24"/>
        </w:rPr>
        <w:t>- Giao dịch Airwallex không được ghi nhận hoặc đơn hàng cập nhật sai trạng thái thanh toán do lỗi webhook hoặc mã nguồn của Bên B.</w:t>
      </w:r>
    </w:p>
    <w:p>
      <w:pPr>
        <w:spacing w:after="80" w:before="0" w:line="312" w:lineRule="auto"/>
        <w:ind w:left="340"/>
        <w:jc w:val="both"/>
      </w:pPr>
      <w:r>
        <w:rPr>
          <w:rFonts w:ascii="Times New Roman" w:hAnsi="Times New Roman" w:cs="Times New Roman" w:eastAsia="Times New Roman"/>
          <w:b w:val="0"/>
          <w:i w:val="0"/>
          <w:color w:val="000000"/>
          <w:sz w:val="24"/>
        </w:rPr>
        <w:t>- Các lỗi kỹ thuật khác được xác định là phát sinh trực tiếp từ phần mã nguồn do Bên B thực hiện trong phạm vi Điều 3.</w:t>
      </w:r>
    </w:p>
    <w:p>
      <w:pPr>
        <w:spacing w:after="80" w:before="160" w:line="312" w:lineRule="auto"/>
        <w:jc w:val="left"/>
      </w:pPr>
      <w:r>
        <w:rPr>
          <w:rFonts w:ascii="Times New Roman" w:hAnsi="Times New Roman" w:cs="Times New Roman" w:eastAsia="Times New Roman"/>
          <w:b/>
          <w:i w:val="0"/>
          <w:color w:val="000000"/>
          <w:sz w:val="24"/>
        </w:rPr>
        <w:t>10.3. Thời gian tiếp nhận và xử lý sự cố</w:t>
      </w:r>
    </w:p>
    <w:p>
      <w:pPr>
        <w:spacing w:after="120" w:before="0" w:line="312" w:lineRule="auto"/>
        <w:jc w:val="both"/>
      </w:pPr>
      <w:r>
        <w:rPr>
          <w:rFonts w:ascii="Times New Roman" w:hAnsi="Times New Roman" w:cs="Times New Roman" w:eastAsia="Times New Roman"/>
          <w:b w:val="0"/>
          <w:i w:val="0"/>
          <w:color w:val="000000"/>
          <w:sz w:val="24"/>
        </w:rPr>
        <w:t>Bên B có trách nhiệm tiếp nhận và phản hồi trong vòng 24 (hai mươi bốn) giờ làm việc kể từ khi nhận được thông báo hợp lệ có mô tả cụ thể lỗi.</w:t>
      </w:r>
    </w:p>
    <w:p>
      <w:pPr>
        <w:spacing w:after="160" w:before="0" w:line="312" w:lineRule="auto"/>
        <w:jc w:val="both"/>
      </w:pPr>
      <w:r>
        <w:rPr>
          <w:rFonts w:ascii="Times New Roman" w:hAnsi="Times New Roman" w:cs="Times New Roman" w:eastAsia="Times New Roman"/>
          <w:b w:val="0"/>
          <w:i w:val="0"/>
          <w:color w:val="000000"/>
          <w:sz w:val="24"/>
        </w:rPr>
        <w:t>Ngoài thời hạn tiếp nhận nêu trên, Bên B có trách nhiệm xử lý dứt điểm lỗi thuộc phạm vi bảo hành theo thời hạn sau, kể từ thời điểm tiếp nhận thông báo hợp lệ:</w:t>
      </w:r>
    </w:p>
    <w:tbl>
      <w:tblPr>
        <w:tblW w:type="auto" w:w="0"/>
        <w:jc w:val="center"/>
        <w:tblLayout w:type="fixed"/>
        <w:tblLook w:firstColumn="1" w:firstRow="1" w:lastColumn="0" w:lastRow="0" w:noHBand="0" w:noVBand="1" w:val="04A0"/>
      </w:tblPr>
      <w:tblGrid>
        <w:gridCol w:w="3324"/>
        <w:gridCol w:w="3324"/>
        <w:gridCol w:w="3324"/>
      </w:tblGrid>
      <w:tr>
        <w:trPr>
          <w:tblHeader w:val="true"/>
        </w:trPr>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Mức độ lỗi</w:t>
            </w:r>
          </w:p>
        </w:tc>
        <w:tc>
          <w:tcPr>
            <w:tcW w:type="dxa" w:w="532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Mô tả</w:t>
            </w:r>
          </w:p>
        </w:tc>
        <w:tc>
          <w:tcPr>
            <w:tcW w:type="dxa" w:w="192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Thời hạn xử lý</w:t>
            </w:r>
          </w:p>
        </w:tc>
      </w:tr>
      <w:tr>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Nghiêm trọng</w:t>
            </w:r>
          </w:p>
        </w:tc>
        <w:tc>
          <w:tcPr>
            <w:tcW w:type="dxa" w:w="532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Email không gửi được hoặc giao dịch Airwallex không xử lý được, làm gián đoạn hoạt động bán hàng của website</w:t>
            </w:r>
          </w:p>
        </w:tc>
        <w:tc>
          <w:tcPr>
            <w:tcW w:type="dxa" w:w="192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01 – 02 ngày làm việc</w:t>
            </w:r>
          </w:p>
        </w:tc>
      </w:tr>
      <w:tr>
        <w:tc>
          <w:tcPr>
            <w:tcW w:type="dxa" w:w="1814"/>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Thông thường</w:t>
            </w:r>
          </w:p>
        </w:tc>
        <w:tc>
          <w:tcPr>
            <w:tcW w:type="dxa" w:w="532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Các lỗi còn lại thuộc phạm vi bảo hành, không làm gián đoạn hoạt động bán hàng của website</w:t>
            </w:r>
          </w:p>
        </w:tc>
        <w:tc>
          <w:tcPr>
            <w:tcW w:type="dxa" w:w="1928"/>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val="0"/>
                <w:i w:val="0"/>
                <w:color w:val="000000"/>
                <w:sz w:val="22"/>
              </w:rPr>
              <w:t>03 – 05 ngày làm việc</w:t>
            </w:r>
          </w:p>
        </w:tc>
      </w:tr>
    </w:tbl>
    <w:p>
      <w:pPr>
        <w:spacing w:after="120" w:before="0" w:line="312" w:lineRule="auto"/>
        <w:jc w:val="both"/>
      </w:pPr>
    </w:p>
    <w:p>
      <w:pPr>
        <w:spacing w:after="120" w:before="0" w:line="312" w:lineRule="auto"/>
        <w:jc w:val="both"/>
      </w:pPr>
      <w:r>
        <w:rPr>
          <w:rFonts w:ascii="Times New Roman" w:hAnsi="Times New Roman" w:cs="Times New Roman" w:eastAsia="Times New Roman"/>
          <w:b w:val="0"/>
          <w:i w:val="0"/>
          <w:color w:val="000000"/>
          <w:sz w:val="24"/>
        </w:rPr>
        <w:t>Trường hợp nguyên nhân sự cố nằm ngoài khả năng kiểm soát của Bên B (chính sách, gián đoạn dịch vụ hoặc thay đổi API của Resend/Airwallex), thời gian chờ xử lý của bên thứ ba không tính vào thời hạn nêu trên; Bên B có trách nhiệm thông báo và cập nhật tiến độ xử lý cho Bên A.</w:t>
      </w:r>
    </w:p>
    <w:p>
      <w:pPr>
        <w:spacing w:after="80" w:before="160" w:line="312" w:lineRule="auto"/>
        <w:jc w:val="left"/>
      </w:pPr>
      <w:r>
        <w:rPr>
          <w:rFonts w:ascii="Times New Roman" w:hAnsi="Times New Roman" w:cs="Times New Roman" w:eastAsia="Times New Roman"/>
          <w:b/>
          <w:i w:val="0"/>
          <w:color w:val="000000"/>
          <w:sz w:val="24"/>
        </w:rPr>
        <w:t>10.4. Thời gian làm việc và thông báo sự cố</w:t>
      </w:r>
    </w:p>
    <w:p>
      <w:pPr>
        <w:spacing w:after="80" w:before="0" w:line="312" w:lineRule="auto"/>
        <w:jc w:val="both"/>
      </w:pPr>
      <w:r>
        <w:rPr>
          <w:rFonts w:ascii="Times New Roman" w:hAnsi="Times New Roman" w:cs="Times New Roman" w:eastAsia="Times New Roman"/>
          <w:b w:val="0"/>
          <w:i w:val="0"/>
          <w:color w:val="000000"/>
          <w:sz w:val="24"/>
        </w:rPr>
        <w:t>Thông báo sự cố được coi là hợp lệ khi được gửi qua các kênh hỗ trợ chính thức của Bên B dưới đây và có mô tả đủ để Bên B xác định, kiểm tra sự cố:</w:t>
      </w:r>
    </w:p>
    <w:p>
      <w:pPr>
        <w:spacing w:after="80" w:before="0" w:line="312" w:lineRule="auto"/>
        <w:ind w:left="340"/>
        <w:jc w:val="both"/>
      </w:pPr>
      <w:r>
        <w:rPr>
          <w:rFonts w:ascii="Times New Roman" w:hAnsi="Times New Roman" w:cs="Times New Roman" w:eastAsia="Times New Roman"/>
          <w:b w:val="0"/>
          <w:i w:val="0"/>
          <w:color w:val="000000"/>
          <w:sz w:val="24"/>
        </w:rPr>
        <w:t>- Email: hello.alodev@gmail.com</w:t>
      </w:r>
    </w:p>
    <w:p>
      <w:pPr>
        <w:spacing w:after="80" w:before="0" w:line="312" w:lineRule="auto"/>
        <w:ind w:left="340"/>
        <w:jc w:val="both"/>
      </w:pPr>
      <w:r>
        <w:rPr>
          <w:rFonts w:ascii="Times New Roman" w:hAnsi="Times New Roman" w:cs="Times New Roman" w:eastAsia="Times New Roman"/>
          <w:b w:val="0"/>
          <w:i w:val="0"/>
          <w:color w:val="000000"/>
          <w:sz w:val="24"/>
        </w:rPr>
        <w:t>- Số điện thoại/Zalo: 0939.526.292</w:t>
      </w:r>
    </w:p>
    <w:p>
      <w:pPr>
        <w:spacing w:after="80" w:before="160" w:line="312" w:lineRule="auto"/>
        <w:jc w:val="left"/>
      </w:pPr>
      <w:r>
        <w:rPr>
          <w:rFonts w:ascii="Times New Roman" w:hAnsi="Times New Roman" w:cs="Times New Roman" w:eastAsia="Times New Roman"/>
          <w:b/>
          <w:i w:val="0"/>
          <w:color w:val="000000"/>
          <w:sz w:val="24"/>
        </w:rPr>
        <w:t>10.5. Các trường hợp không thuộc phạm vi bảo hành</w:t>
      </w:r>
    </w:p>
    <w:p>
      <w:pPr>
        <w:spacing w:after="80" w:before="0" w:line="312" w:lineRule="auto"/>
        <w:jc w:val="both"/>
      </w:pPr>
      <w:r>
        <w:rPr>
          <w:rFonts w:ascii="Times New Roman" w:hAnsi="Times New Roman" w:cs="Times New Roman" w:eastAsia="Times New Roman"/>
          <w:b w:val="0"/>
          <w:i w:val="0"/>
          <w:color w:val="000000"/>
          <w:sz w:val="24"/>
        </w:rPr>
        <w:t>Bên B không chịu trách nhiệm bảo hành đối với sự cố phát sinh từ:</w:t>
      </w:r>
    </w:p>
    <w:p>
      <w:pPr>
        <w:spacing w:after="80" w:before="0" w:line="312" w:lineRule="auto"/>
        <w:ind w:left="340"/>
        <w:jc w:val="both"/>
      </w:pPr>
      <w:r>
        <w:rPr>
          <w:rFonts w:ascii="Times New Roman" w:hAnsi="Times New Roman" w:cs="Times New Roman" w:eastAsia="Times New Roman"/>
          <w:b w:val="0"/>
          <w:i w:val="0"/>
          <w:color w:val="000000"/>
          <w:sz w:val="24"/>
        </w:rPr>
        <w:t>- Yêu cầu thay đổi nội dung, tính năng hoặc bố cục so với bản đã nghiệm thu.</w:t>
      </w:r>
    </w:p>
    <w:p>
      <w:pPr>
        <w:spacing w:after="80" w:before="0" w:line="312" w:lineRule="auto"/>
        <w:ind w:left="340"/>
        <w:jc w:val="both"/>
      </w:pPr>
      <w:r>
        <w:rPr>
          <w:rFonts w:ascii="Times New Roman" w:hAnsi="Times New Roman" w:cs="Times New Roman" w:eastAsia="Times New Roman"/>
          <w:b w:val="0"/>
          <w:i w:val="0"/>
          <w:color w:val="000000"/>
          <w:sz w:val="24"/>
        </w:rPr>
        <w:t>- Bên A hoặc bên thứ ba tự ý sửa đổi, xóa, thêm hoặc can thiệp vào mã nguồn hoặc dữ liệu.</w:t>
      </w:r>
    </w:p>
    <w:p>
      <w:pPr>
        <w:spacing w:after="80" w:before="0" w:line="312" w:lineRule="auto"/>
        <w:ind w:left="340"/>
        <w:jc w:val="both"/>
      </w:pPr>
      <w:r>
        <w:rPr>
          <w:rFonts w:ascii="Times New Roman" w:hAnsi="Times New Roman" w:cs="Times New Roman" w:eastAsia="Times New Roman"/>
          <w:b w:val="0"/>
          <w:i w:val="0"/>
          <w:color w:val="000000"/>
          <w:sz w:val="24"/>
        </w:rPr>
        <w:t>- Lỗi phát sinh từ chính sách, gián đoạn dịch vụ hoặc thay đổi API của Resend/Airwallex nằm ngoài phạm vi kiểm soát của Bên B.</w:t>
      </w:r>
    </w:p>
    <w:p>
      <w:pPr>
        <w:spacing w:after="80" w:before="0" w:line="312" w:lineRule="auto"/>
        <w:ind w:left="340"/>
        <w:jc w:val="both"/>
      </w:pPr>
      <w:r>
        <w:rPr>
          <w:rFonts w:ascii="Times New Roman" w:hAnsi="Times New Roman" w:cs="Times New Roman" w:eastAsia="Times New Roman"/>
          <w:b w:val="0"/>
          <w:i w:val="0"/>
          <w:color w:val="000000"/>
          <w:sz w:val="24"/>
        </w:rPr>
        <w:t>- Mất mát dữ liệu do thao tác của Bên A.</w:t>
      </w:r>
    </w:p>
    <w:p>
      <w:pPr>
        <w:spacing w:after="80" w:before="0" w:line="312" w:lineRule="auto"/>
        <w:ind w:left="340"/>
        <w:jc w:val="both"/>
      </w:pPr>
      <w:r>
        <w:rPr>
          <w:rFonts w:ascii="Times New Roman" w:hAnsi="Times New Roman" w:cs="Times New Roman" w:eastAsia="Times New Roman"/>
          <w:b w:val="0"/>
          <w:i w:val="0"/>
          <w:color w:val="000000"/>
          <w:sz w:val="24"/>
        </w:rPr>
        <w:t>- Các nội dung tại Điều 3, mục 3.2.</w:t>
      </w:r>
    </w:p>
    <w:p>
      <w:pPr>
        <w:spacing w:after="80" w:before="0" w:line="312" w:lineRule="auto"/>
        <w:ind w:left="340"/>
        <w:jc w:val="both"/>
      </w:pPr>
      <w:r>
        <w:rPr>
          <w:rFonts w:ascii="Times New Roman" w:hAnsi="Times New Roman" w:cs="Times New Roman" w:eastAsia="Times New Roman"/>
          <w:b w:val="0"/>
          <w:i w:val="0"/>
          <w:color w:val="000000"/>
          <w:sz w:val="24"/>
        </w:rPr>
        <w:t>- Sự kiện bất khả kháng hoặc nguyên nhân nằm ngoài khả năng kiểm soát hợp lý của Bên B.</w:t>
      </w:r>
    </w:p>
    <w:p>
      <w:pPr>
        <w:spacing w:after="80" w:before="160" w:line="312" w:lineRule="auto"/>
        <w:jc w:val="left"/>
      </w:pPr>
      <w:r>
        <w:rPr>
          <w:rFonts w:ascii="Times New Roman" w:hAnsi="Times New Roman" w:cs="Times New Roman" w:eastAsia="Times New Roman"/>
          <w:b/>
          <w:i w:val="0"/>
          <w:color w:val="000000"/>
          <w:sz w:val="24"/>
        </w:rPr>
        <w:t>10.6. Bảo hành không phải là dịch vụ phát triển mới</w:t>
      </w:r>
    </w:p>
    <w:p>
      <w:pPr>
        <w:spacing w:after="120" w:before="0" w:line="312" w:lineRule="auto"/>
        <w:jc w:val="both"/>
      </w:pPr>
      <w:r>
        <w:rPr>
          <w:rFonts w:ascii="Times New Roman" w:hAnsi="Times New Roman" w:cs="Times New Roman" w:eastAsia="Times New Roman"/>
          <w:b w:val="0"/>
          <w:i w:val="0"/>
          <w:color w:val="000000"/>
          <w:sz w:val="24"/>
        </w:rPr>
        <w:t>Bảo hành kỹ thuật không bao gồm việc thiết kế lại, thay đổi tính năng, bổ sung hiệu ứng hoặc phát triển chức năng mới theo yêu cầu của Bên A ngoài phạm vi Điều 3. Các yêu cầu nêu trên được xử lý theo quy định về yêu cầu thay đổi tại Điều 11 của Hợp đồng bổ sung này.</w:t>
      </w:r>
    </w:p>
    <w:p>
      <w:pPr>
        <w:spacing w:after="80" w:before="160" w:line="312" w:lineRule="auto"/>
        <w:jc w:val="left"/>
      </w:pPr>
      <w:r>
        <w:rPr>
          <w:rFonts w:ascii="Times New Roman" w:hAnsi="Times New Roman" w:cs="Times New Roman" w:eastAsia="Times New Roman"/>
          <w:b/>
          <w:i w:val="0"/>
          <w:color w:val="000000"/>
          <w:sz w:val="24"/>
        </w:rPr>
        <w:t>10.7. Nguyên tắc xác định nguyên nhân sự cố</w:t>
      </w:r>
    </w:p>
    <w:p>
      <w:pPr>
        <w:spacing w:after="120" w:before="0" w:line="312" w:lineRule="auto"/>
        <w:jc w:val="both"/>
      </w:pPr>
      <w:r>
        <w:rPr>
          <w:rFonts w:ascii="Times New Roman" w:hAnsi="Times New Roman" w:cs="Times New Roman" w:eastAsia="Times New Roman"/>
          <w:b w:val="0"/>
          <w:i w:val="0"/>
          <w:color w:val="000000"/>
          <w:sz w:val="24"/>
        </w:rPr>
        <w:t>Trường hợp chưa xác định được nguyên nhân, Bên B có trách nhiệm kiểm tra và thông báo cho Bên A về nguyên nhân dự kiến cũng như phạm vi trách nhiệm của Bên B. Nếu xác định sự cố không thuộc phạm vi bảo hành, Bên B có trách nhiệm thông báo cho Bên A và hỗ trợ xác định hướng xử lý trong phạm vi hợp lý.</w:t>
      </w:r>
    </w:p>
    <w:p>
      <w:pPr>
        <w:spacing w:after="120" w:before="240" w:line="312" w:lineRule="auto"/>
        <w:jc w:val="left"/>
      </w:pPr>
      <w:r>
        <w:rPr>
          <w:rFonts w:ascii="Times New Roman" w:hAnsi="Times New Roman" w:cs="Times New Roman" w:eastAsia="Times New Roman"/>
          <w:b/>
          <w:i w:val="0"/>
          <w:color w:val="000000"/>
          <w:sz w:val="25"/>
        </w:rPr>
        <w:t>ĐIỀU 11: XỬ LÝ YÊU CẦU THAY ĐỔI</w:t>
      </w:r>
    </w:p>
    <w:p>
      <w:pPr>
        <w:spacing w:after="120" w:before="0" w:line="312" w:lineRule="auto"/>
        <w:jc w:val="both"/>
      </w:pPr>
      <w:r>
        <w:rPr>
          <w:rFonts w:ascii="Times New Roman" w:hAnsi="Times New Roman" w:cs="Times New Roman" w:eastAsia="Times New Roman"/>
          <w:b w:val="0"/>
          <w:i w:val="0"/>
          <w:color w:val="000000"/>
          <w:sz w:val="24"/>
        </w:rPr>
        <w:t>11.1. Mọi yêu cầu nằm ngoài phạm vi công việc tại Điều 3 phải được lập thành văn bản, nêu rõ nội dung, chi phí và thời gian thực hiện dự kiến.</w:t>
      </w:r>
    </w:p>
    <w:p>
      <w:pPr>
        <w:spacing w:after="120" w:before="0" w:line="312" w:lineRule="auto"/>
        <w:jc w:val="both"/>
      </w:pPr>
      <w:r>
        <w:rPr>
          <w:rFonts w:ascii="Times New Roman" w:hAnsi="Times New Roman" w:cs="Times New Roman" w:eastAsia="Times New Roman"/>
          <w:b w:val="0"/>
          <w:i w:val="0"/>
          <w:color w:val="000000"/>
          <w:sz w:val="24"/>
        </w:rPr>
        <w:t>11.2. Yêu cầu thay đổi chỉ có hiệu lực khi được đại diện có thẩm quyền của hai bên xác nhận bằng văn bản và trở thành phụ lục không tách rời của Hợp đồng bổ sung. Bên B không có nghĩa vụ thực hiện và Bên A không có nghĩa vụ thanh toán đối với công việc ngoài phạm vi chưa được xác nhận.</w:t>
      </w:r>
    </w:p>
    <w:p>
      <w:pPr>
        <w:spacing w:after="120" w:before="0" w:line="312" w:lineRule="auto"/>
        <w:jc w:val="both"/>
      </w:pPr>
      <w:r>
        <w:rPr>
          <w:rFonts w:ascii="Times New Roman" w:hAnsi="Times New Roman" w:cs="Times New Roman" w:eastAsia="Times New Roman"/>
          <w:b w:val="0"/>
          <w:i w:val="0"/>
          <w:color w:val="000000"/>
          <w:sz w:val="24"/>
        </w:rPr>
        <w:t>11.3. Trước khi báo giá bất kỳ hạng mục phát sinh nào, Bên B có trách nhiệm chỉ rõ hạng mục đó vượt quá khoản nào của Điều 3, mục 3.1. Một chức năng đã thuộc phạm vi Điều 3, mục 3.1 không được coi là phát sinh chỉ vì chức năng đó chưa được triển khai hoặc cần thêm thao tác để hoàn thiện.</w:t>
      </w:r>
    </w:p>
    <w:p>
      <w:pPr>
        <w:spacing w:after="120" w:before="240" w:line="312" w:lineRule="auto"/>
        <w:jc w:val="left"/>
      </w:pPr>
      <w:r>
        <w:rPr>
          <w:rFonts w:ascii="Times New Roman" w:hAnsi="Times New Roman" w:cs="Times New Roman" w:eastAsia="Times New Roman"/>
          <w:b/>
          <w:i w:val="0"/>
          <w:color w:val="000000"/>
          <w:sz w:val="25"/>
        </w:rPr>
        <w:t>ĐIỀU 12: BẢO MẬT THÔNG TIN</w:t>
      </w:r>
    </w:p>
    <w:p>
      <w:pPr>
        <w:spacing w:after="120" w:before="0" w:line="312" w:lineRule="auto"/>
        <w:jc w:val="both"/>
      </w:pPr>
      <w:r>
        <w:rPr>
          <w:rFonts w:ascii="Times New Roman" w:hAnsi="Times New Roman" w:cs="Times New Roman" w:eastAsia="Times New Roman"/>
          <w:b w:val="0"/>
          <w:i w:val="0"/>
          <w:color w:val="000000"/>
          <w:sz w:val="24"/>
        </w:rPr>
        <w:t>12.1. Hai bên có nghĩa vụ bảo mật thông tin, dữ liệu, khóa API của nhau, không sao chép, tiết lộ, chuyển giao cho bất kỳ bên thứ ba nào nếu không có sự đồng ý trước bằng văn bản.</w:t>
      </w:r>
    </w:p>
    <w:p>
      <w:pPr>
        <w:spacing w:after="120" w:before="0" w:line="312" w:lineRule="auto"/>
        <w:jc w:val="both"/>
      </w:pPr>
      <w:r>
        <w:rPr>
          <w:rFonts w:ascii="Times New Roman" w:hAnsi="Times New Roman" w:cs="Times New Roman" w:eastAsia="Times New Roman"/>
          <w:b w:val="0"/>
          <w:i w:val="0"/>
          <w:color w:val="000000"/>
          <w:sz w:val="24"/>
        </w:rPr>
        <w:t>12.2. Nghĩa vụ bảo mật có hiệu lực kể từ ngày ký Hợp đồng bổ sung và tiếp tục duy trì kể cả sau khi Hợp đồng bổ sung chấm dứt hoặc hết hiệu lực.</w:t>
      </w:r>
    </w:p>
    <w:p>
      <w:pPr>
        <w:spacing w:after="120" w:before="240" w:line="312" w:lineRule="auto"/>
        <w:jc w:val="left"/>
      </w:pPr>
      <w:r>
        <w:rPr>
          <w:rFonts w:ascii="Times New Roman" w:hAnsi="Times New Roman" w:cs="Times New Roman" w:eastAsia="Times New Roman"/>
          <w:b/>
          <w:i w:val="0"/>
          <w:color w:val="000000"/>
          <w:sz w:val="25"/>
        </w:rPr>
        <w:t>ĐIỀU 13: SỞ HỮU TRÍ TUỆ</w:t>
      </w:r>
    </w:p>
    <w:p>
      <w:pPr>
        <w:spacing w:after="120" w:before="0" w:line="312" w:lineRule="auto"/>
        <w:jc w:val="both"/>
      </w:pPr>
      <w:r>
        <w:rPr>
          <w:rFonts w:ascii="Times New Roman" w:hAnsi="Times New Roman" w:cs="Times New Roman" w:eastAsia="Times New Roman"/>
          <w:b w:val="0"/>
          <w:i w:val="0"/>
          <w:color w:val="000000"/>
          <w:sz w:val="24"/>
        </w:rPr>
        <w:t>13.1. Sau khi Bên A thanh toán đầy đủ 100% giá trị một hạng mục quy định tại Điều 6, Bên A là chủ sở hữu hợp pháp đối với mã nguồn phát triển riêng trong phạm vi hạng mục đó.</w:t>
      </w:r>
    </w:p>
    <w:p>
      <w:pPr>
        <w:spacing w:after="120" w:before="0" w:line="312" w:lineRule="auto"/>
        <w:jc w:val="both"/>
      </w:pPr>
      <w:r>
        <w:rPr>
          <w:rFonts w:ascii="Times New Roman" w:hAnsi="Times New Roman" w:cs="Times New Roman" w:eastAsia="Times New Roman"/>
          <w:b w:val="0"/>
          <w:i w:val="0"/>
          <w:color w:val="000000"/>
          <w:sz w:val="24"/>
        </w:rPr>
        <w:t>13.2. Trước khi thanh toán đủ 100% một hạng mục, Bên B vẫn giữ quyền kiểm soát đối với mã nguồn của hạng mục đó.</w:t>
      </w:r>
    </w:p>
    <w:p>
      <w:pPr>
        <w:spacing w:after="120" w:before="0" w:line="312" w:lineRule="auto"/>
        <w:jc w:val="both"/>
      </w:pPr>
      <w:r>
        <w:rPr>
          <w:rFonts w:ascii="Times New Roman" w:hAnsi="Times New Roman" w:cs="Times New Roman" w:eastAsia="Times New Roman"/>
          <w:b w:val="0"/>
          <w:i w:val="0"/>
          <w:color w:val="000000"/>
          <w:sz w:val="24"/>
        </w:rPr>
        <w:t>13.3. Các thư viện, mã nguồn mở và dịch vụ của bên thứ ba (Resend, Airwallex) vẫn thuộc bản quyền chủ sở hữu tương ứng và được sử dụng theo giấy phép của chúng.</w:t>
      </w:r>
    </w:p>
    <w:p>
      <w:pPr>
        <w:spacing w:after="120" w:before="240" w:line="312" w:lineRule="auto"/>
        <w:jc w:val="left"/>
      </w:pPr>
      <w:r>
        <w:rPr>
          <w:rFonts w:ascii="Times New Roman" w:hAnsi="Times New Roman" w:cs="Times New Roman" w:eastAsia="Times New Roman"/>
          <w:b/>
          <w:i w:val="0"/>
          <w:color w:val="000000"/>
          <w:sz w:val="25"/>
        </w:rPr>
        <w:t>ĐIỀU 14: PHẠT VI PHẠM VÀ BỒI THƯỜNG THIỆT HẠI</w:t>
      </w:r>
    </w:p>
    <w:p>
      <w:pPr>
        <w:spacing w:after="120" w:before="0" w:line="312" w:lineRule="auto"/>
        <w:jc w:val="both"/>
      </w:pPr>
      <w:r>
        <w:rPr>
          <w:rFonts w:ascii="Times New Roman" w:hAnsi="Times New Roman" w:cs="Times New Roman" w:eastAsia="Times New Roman"/>
          <w:b w:val="0"/>
          <w:i w:val="0"/>
          <w:color w:val="000000"/>
          <w:sz w:val="24"/>
        </w:rPr>
        <w:t>14.1. Bên vi phạm nghĩa vụ theo Hợp đồng bổ sung này phải chịu phạt vi phạm theo quy định của pháp luật áp dụng đối với phần nghĩa vụ bị vi phạm, đồng thời bồi thường thiệt hại thực tế phát sinh cho bên bị vi phạm.</w:t>
      </w:r>
    </w:p>
    <w:p>
      <w:pPr>
        <w:spacing w:after="120" w:before="0" w:line="312" w:lineRule="auto"/>
        <w:jc w:val="both"/>
      </w:pPr>
      <w:r>
        <w:rPr>
          <w:rFonts w:ascii="Times New Roman" w:hAnsi="Times New Roman" w:cs="Times New Roman" w:eastAsia="Times New Roman"/>
          <w:b w:val="0"/>
          <w:i w:val="0"/>
          <w:color w:val="000000"/>
          <w:sz w:val="24"/>
        </w:rPr>
        <w:t>14.2. Trường hợp Bên B không bàn giao đúng cam kết, Bên B hoàn trả phần tiền tương ứng với công việc chưa thực hiện. Trường hợp Bên A vi phạm nghĩa vụ thanh toán dẫn đến tranh chấp, giá trị dịch vụ được tính theo khối lượng công việc thực tế đã hoàn thành.</w:t>
      </w:r>
    </w:p>
    <w:p>
      <w:pPr>
        <w:spacing w:after="120" w:before="0" w:line="312" w:lineRule="auto"/>
        <w:jc w:val="both"/>
      </w:pPr>
      <w:r>
        <w:rPr>
          <w:rFonts w:ascii="Times New Roman" w:hAnsi="Times New Roman" w:cs="Times New Roman" w:eastAsia="Times New Roman"/>
          <w:b w:val="0"/>
          <w:i w:val="0"/>
          <w:color w:val="000000"/>
          <w:sz w:val="24"/>
        </w:rPr>
        <w:t>14.3. Một bên có quyền chấm dứt Hợp đồng bổ sung nếu bên kia vi phạm nghĩa vụ trọng yếu và không khắc phục trong vòng 07 (bảy) ngày làm việc kể từ ngày nhận được thông báo bằng văn bản.</w:t>
      </w:r>
    </w:p>
    <w:p>
      <w:pPr>
        <w:spacing w:after="120" w:before="0" w:line="312" w:lineRule="auto"/>
        <w:jc w:val="both"/>
      </w:pPr>
      <w:r>
        <w:rPr>
          <w:rFonts w:ascii="Times New Roman" w:hAnsi="Times New Roman" w:cs="Times New Roman" w:eastAsia="Times New Roman"/>
          <w:b w:val="0"/>
          <w:i w:val="0"/>
          <w:color w:val="000000"/>
          <w:sz w:val="24"/>
        </w:rPr>
        <w:t>14.4. Trừ trường hợp pháp luật có quy định khác, tổng trách nhiệm bồi thường của Bên B phát sinh từ hoặc liên quan đến Hợp đồng bổ sung này không vượt quá 02 (hai) lần tổng giá trị Hợp đồng bổ sung quy định tại Điều 6.</w:t>
      </w:r>
    </w:p>
    <w:p>
      <w:pPr>
        <w:spacing w:after="120" w:before="240" w:line="312" w:lineRule="auto"/>
        <w:jc w:val="left"/>
      </w:pPr>
      <w:r>
        <w:rPr>
          <w:rFonts w:ascii="Times New Roman" w:hAnsi="Times New Roman" w:cs="Times New Roman" w:eastAsia="Times New Roman"/>
          <w:b/>
          <w:i w:val="0"/>
          <w:color w:val="000000"/>
          <w:sz w:val="25"/>
        </w:rPr>
        <w:t>ĐIỀU 15: SỰ KIỆN BẤT KHẢ KHÁNG</w:t>
      </w:r>
    </w:p>
    <w:p>
      <w:pPr>
        <w:spacing w:after="120" w:before="0" w:line="312" w:lineRule="auto"/>
        <w:jc w:val="both"/>
      </w:pPr>
      <w:r>
        <w:rPr>
          <w:rFonts w:ascii="Times New Roman" w:hAnsi="Times New Roman" w:cs="Times New Roman" w:eastAsia="Times New Roman"/>
          <w:b w:val="0"/>
          <w:i w:val="0"/>
          <w:color w:val="000000"/>
          <w:sz w:val="24"/>
        </w:rPr>
        <w:t>15.1. Sự kiện bất khả kháng là sự kiện xảy ra khách quan, không thể lường trước và không thể khắc phục dù đã áp dụng mọi biện pháp cần thiết.</w:t>
      </w:r>
    </w:p>
    <w:p>
      <w:pPr>
        <w:spacing w:after="120" w:before="0" w:line="312" w:lineRule="auto"/>
        <w:jc w:val="both"/>
      </w:pPr>
      <w:r>
        <w:rPr>
          <w:rFonts w:ascii="Times New Roman" w:hAnsi="Times New Roman" w:cs="Times New Roman" w:eastAsia="Times New Roman"/>
          <w:b w:val="0"/>
          <w:i w:val="0"/>
          <w:color w:val="000000"/>
          <w:sz w:val="24"/>
        </w:rPr>
        <w:t>15.2. Bên bị ảnh hưởng được miễn trách nhiệm đối với phần nghĩa vụ không thực hiện được do sự kiện bất khả kháng, với điều kiện đã thông báo bằng văn bản cho bên kia trong thời gian hợp lý.</w:t>
      </w:r>
    </w:p>
    <w:p>
      <w:pPr>
        <w:spacing w:after="120" w:before="240" w:line="312" w:lineRule="auto"/>
        <w:jc w:val="left"/>
      </w:pPr>
      <w:r>
        <w:rPr>
          <w:rFonts w:ascii="Times New Roman" w:hAnsi="Times New Roman" w:cs="Times New Roman" w:eastAsia="Times New Roman"/>
          <w:b/>
          <w:i w:val="0"/>
          <w:color w:val="000000"/>
          <w:sz w:val="25"/>
        </w:rPr>
        <w:t>ĐIỀU 16: HIỆU LỰC HỢP ĐỒNG</w:t>
      </w:r>
    </w:p>
    <w:p>
      <w:pPr>
        <w:spacing w:after="120" w:before="0" w:line="312" w:lineRule="auto"/>
        <w:jc w:val="both"/>
      </w:pPr>
      <w:r>
        <w:rPr>
          <w:rFonts w:ascii="Times New Roman" w:hAnsi="Times New Roman" w:cs="Times New Roman" w:eastAsia="Times New Roman"/>
          <w:b w:val="0"/>
          <w:i w:val="0"/>
          <w:color w:val="000000"/>
          <w:sz w:val="24"/>
        </w:rPr>
        <w:t>16.1. Hợp đồng bổ sung này là bộ phận không tách rời của Hợp đồng gốc số 46/2026/HĐDV. Các điều khoản của Hợp đồng gốc không bị sửa đổi bởi Hợp đồng bổ sung này vẫn giữ nguyên hiệu lực.</w:t>
      </w:r>
    </w:p>
    <w:p>
      <w:pPr>
        <w:spacing w:after="120" w:before="0" w:line="312" w:lineRule="auto"/>
        <w:jc w:val="both"/>
      </w:pPr>
      <w:r>
        <w:rPr>
          <w:rFonts w:ascii="Times New Roman" w:hAnsi="Times New Roman" w:cs="Times New Roman" w:eastAsia="Times New Roman"/>
          <w:b w:val="0"/>
          <w:i w:val="0"/>
          <w:color w:val="000000"/>
          <w:sz w:val="24"/>
        </w:rPr>
        <w:t>16.2. Trường hợp có mâu thuẫn giữa Hợp đồng gốc và Hợp đồng bổ sung này đối với các hạng mục quy định tại Điều 3, các điều khoản của Hợp đồng bổ sung được ưu tiên áp dụng.</w:t>
      </w:r>
    </w:p>
    <w:p>
      <w:pPr>
        <w:spacing w:after="120" w:before="0" w:line="312" w:lineRule="auto"/>
        <w:jc w:val="both"/>
      </w:pPr>
      <w:r>
        <w:rPr>
          <w:rFonts w:ascii="Times New Roman" w:hAnsi="Times New Roman" w:cs="Times New Roman" w:eastAsia="Times New Roman"/>
          <w:b w:val="0"/>
          <w:i w:val="0"/>
          <w:color w:val="000000"/>
          <w:sz w:val="24"/>
        </w:rPr>
        <w:t>16.3. Mọi sửa đổi, bổ sung chỉ có giá trị khi hai bên đồng ý bằng văn bản. Hợp đồng bổ sung có hiệu lực kể từ ngày ký, được lập thành 02 (hai) bản có giá trị pháp lý như nhau, mỗi bên giữ 01 (một) bản.</w:t>
      </w:r>
    </w:p>
    <w:p>
      <w:pPr>
        <w:spacing w:after="120" w:before="0" w:line="312" w:lineRule="auto"/>
        <w:jc w:val="both"/>
      </w:pPr>
      <w:r>
        <w:rPr>
          <w:rFonts w:ascii="Times New Roman" w:hAnsi="Times New Roman" w:cs="Times New Roman" w:eastAsia="Times New Roman"/>
          <w:b w:val="0"/>
          <w:i w:val="0"/>
          <w:color w:val="000000"/>
          <w:sz w:val="24"/>
        </w:rPr>
        <w:t>16.4. Tranh chấp phát sinh từ hoặc liên quan đến Hợp đồng bổ sung này trước hết được giải quyết bằng thương lượng. Nếu không giải quyết được, tranh chấp được giải quyết tại Tòa án nhân dân có thẩm quyền.</w:t>
      </w:r>
    </w:p>
    <w:p>
      <w:pPr>
        <w:spacing w:after="200" w:before="0" w:line="312" w:lineRule="auto"/>
        <w:jc w:val="both"/>
      </w:pPr>
    </w:p>
    <w:p>
      <w:pPr>
        <w:spacing w:after="120" w:before="200" w:line="312" w:lineRule="auto"/>
        <w:jc w:val="center"/>
      </w:pPr>
      <w:r>
        <w:rPr>
          <w:rFonts w:ascii="Times New Roman" w:hAnsi="Times New Roman" w:cs="Times New Roman" w:eastAsia="Times New Roman"/>
          <w:b/>
          <w:i w:val="0"/>
          <w:color w:val="000000"/>
          <w:sz w:val="26"/>
        </w:rPr>
        <w:t>PHỤ LỤC — BIỂU MẪU BÊN A ĐIỀN</w:t>
      </w:r>
    </w:p>
    <w:p>
      <w:pPr>
        <w:spacing w:after="160" w:before="0" w:line="312" w:lineRule="auto"/>
        <w:jc w:val="both"/>
      </w:pPr>
      <w:r>
        <w:rPr>
          <w:rFonts w:ascii="Times New Roman" w:hAnsi="Times New Roman" w:cs="Times New Roman" w:eastAsia="Times New Roman"/>
          <w:b w:val="0"/>
          <w:i w:val="0"/>
          <w:color w:val="000000"/>
          <w:sz w:val="24"/>
        </w:rPr>
        <w:t>Bên A điền đầy đủ các thông tin dưới đây và bàn giao cùng thời điểm ký Hợp đồng bổ sung, làm căn cứ tính thời hạn thực hiện tại Điều 4:</w:t>
      </w:r>
    </w:p>
    <w:tbl>
      <w:tblPr>
        <w:tblW w:type="auto" w:w="0"/>
        <w:jc w:val="center"/>
        <w:tblLayout w:type="fixed"/>
        <w:tblLook w:firstColumn="1" w:firstRow="1" w:lastColumn="0" w:lastRow="0" w:noHBand="0" w:noVBand="1" w:val="04A0"/>
      </w:tblPr>
      <w:tblGrid>
        <w:gridCol w:w="4986"/>
        <w:gridCol w:w="4986"/>
      </w:tblGrid>
      <w:tr>
        <w:trPr>
          <w:tblHeader w:val="true"/>
        </w:trP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Mục</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Bên A điền</w:t>
            </w:r>
          </w:p>
        </w:tc>
      </w:tr>
      <w:t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Airwallex Client ID</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w:t>
            </w:r>
          </w:p>
        </w:tc>
      </w:tr>
      <w:t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Airwallex API Key</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w:t>
            </w:r>
          </w:p>
        </w:tc>
      </w:tr>
      <w:t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Airwallex Webhook Secret</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w:t>
            </w:r>
          </w:p>
        </w:tc>
      </w:tr>
      <w:t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Địa chỉ email gửi đi mong muốn (vd: orders@aura.maxmin.vn)</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w:t>
            </w:r>
          </w:p>
        </w:tc>
      </w:tr>
      <w:t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Xác nhận đã thêm bản ghi DNS xác minh tên miền trong Resend</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 Đã xong        ☐ Chưa</w:t>
            </w:r>
          </w:p>
        </w:tc>
      </w:tr>
      <w:tr>
        <w:tc>
          <w:tcPr>
            <w:tcW w:type="dxa" w:w="4252"/>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Ngày ký</w:t>
            </w:r>
          </w:p>
        </w:tc>
        <w:tc>
          <w:tcPr>
            <w:tcW w:type="dxa" w:w="4819"/>
            <w:tcBorders>
              <w:top w:val="single" w:sz="4" w:space="0" w:color="000000"/>
              <w:left w:val="single" w:sz="4" w:space="0" w:color="000000"/>
              <w:bottom w:val="single" w:sz="4" w:space="0" w:color="000000"/>
              <w:right w:val="single" w:sz="4" w:space="0" w:color="000000"/>
            </w:tcBorders>
            <w:shd w:val="clear" w:color="auto" w:fill="FFFFFF"/>
          </w:tcPr>
          <w:p>
            <w:pPr>
              <w:spacing w:before="40" w:after="40" w:line="264" w:lineRule="auto"/>
              <w:jc w:val="left"/>
            </w:pPr>
            <w:r/>
            <w:r>
              <w:rPr>
                <w:rFonts w:ascii="Times New Roman" w:hAnsi="Times New Roman" w:cs="Times New Roman" w:eastAsia="Times New Roman"/>
                <w:b w:val="0"/>
                <w:i w:val="0"/>
                <w:color w:val="000000"/>
                <w:sz w:val="22"/>
              </w:rPr>
              <w:t>...... / ...... / ..........</w:t>
            </w:r>
          </w:p>
        </w:tc>
      </w:tr>
    </w:tbl>
    <w:p>
      <w:pPr>
        <w:spacing w:after="320" w:before="0" w:line="312" w:lineRule="auto"/>
        <w:jc w:val="both"/>
      </w:pPr>
    </w:p>
    <w:p>
      <w:pPr>
        <w:spacing w:after="400" w:before="0" w:line="312" w:lineRule="auto"/>
        <w:jc w:val="right"/>
      </w:pPr>
      <w:r>
        <w:rPr>
          <w:rFonts w:ascii="Times New Roman" w:hAnsi="Times New Roman" w:cs="Times New Roman" w:eastAsia="Times New Roman"/>
          <w:b w:val="0"/>
          <w:i/>
          <w:color w:val="000000"/>
          <w:sz w:val="24"/>
        </w:rPr>
        <w:t>Hà Nội, ngày ...... tháng ...... năm ..........</w:t>
      </w:r>
    </w:p>
    <w:tbl>
      <w:tblPr>
        <w:tblW w:type="auto" w:w="0"/>
        <w:tblLayout w:type="autofit"/>
        <w:tblLook w:firstColumn="1" w:firstRow="1" w:lastColumn="0" w:lastRow="0" w:noHBand="0" w:noVBand="1" w:val="04A0"/>
      </w:tblPr>
      <w:tblGrid>
        <w:gridCol w:w="4986"/>
        <w:gridCol w:w="4986"/>
      </w:tblGrid>
      <w:tr>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ĐẠI DIỆN BÊN A</w:t>
            </w:r>
          </w:p>
        </w:tc>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i w:val="0"/>
                <w:color w:val="000000"/>
                <w:sz w:val="22"/>
              </w:rPr>
              <w:t>ĐẠI DIỆN BÊN B</w:t>
            </w:r>
          </w:p>
        </w:tc>
      </w:tr>
      <w:tr>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val="0"/>
                <w:i/>
                <w:color w:val="000000"/>
                <w:sz w:val="21"/>
              </w:rPr>
              <w:t>(Ký, ghi rõ họ tên)</w:t>
            </w:r>
          </w:p>
        </w:tc>
        <w:tc>
          <w:tcPr>
            <w:tcW w:type="dxa" w:w="4986"/>
            <w:tcBorders>
              <w:top w:val="single" w:sz="4" w:space="0" w:color="000000"/>
              <w:left w:val="single" w:sz="4" w:space="0" w:color="000000"/>
              <w:bottom w:val="single" w:sz="4" w:space="0" w:color="000000"/>
              <w:right w:val="single" w:sz="4" w:space="0" w:color="000000"/>
            </w:tcBorders>
            <w:tcBorders>
              <w:top w:val="single" w:sz="0" w:space="0" w:color="000000"/>
              <w:left w:val="single" w:sz="0" w:space="0" w:color="000000"/>
              <w:bottom w:val="single" w:sz="0" w:space="0" w:color="000000"/>
              <w:right w:val="single" w:sz="0" w:space="0" w:color="000000"/>
            </w:tcBorders>
            <w:shd w:val="clear" w:color="auto" w:fill="FFFFFF"/>
          </w:tcPr>
          <w:p>
            <w:pPr>
              <w:spacing w:before="40" w:after="40" w:line="264" w:lineRule="auto"/>
              <w:jc w:val="center"/>
            </w:pPr>
            <w:r/>
            <w:r>
              <w:rPr>
                <w:rFonts w:ascii="Times New Roman" w:hAnsi="Times New Roman" w:cs="Times New Roman" w:eastAsia="Times New Roman"/>
                <w:b w:val="0"/>
                <w:i/>
                <w:color w:val="000000"/>
                <w:sz w:val="21"/>
              </w:rPr>
              <w:t>(Ký, ghi rõ họ tên và đóng dấu)</w:t>
            </w:r>
          </w:p>
        </w:tc>
      </w:tr>
    </w:tbl>
    <w:sectPr w:rsidR="00FC693F" w:rsidRPr="0006063C" w:rsidSect="00034616">
      <w:pgSz w:w="12240" w:h="15840"/>
      <w:pgMar w:top="1020" w:right="1020"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