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pPr>
      <w:r>
        <w:rPr>
          <w:rFonts w:ascii="Arial" w:hAnsi="Arial"/>
          <w:b/>
          <w:color w:val="1F4E79"/>
          <w:sz w:val="44"/>
        </w:rPr>
        <w:t>SOFTWARE REQUIREMENTS SPECIFICATION (SRS)</w:t>
      </w:r>
    </w:p>
    <w:p>
      <w:pPr>
        <w:spacing w:before="0" w:after="480" w:line="276" w:lineRule="auto"/>
      </w:pPr>
      <w:r>
        <w:rPr>
          <w:rFonts w:ascii="Arial" w:hAnsi="Arial"/>
          <w:i/>
          <w:color w:val="7F7F7F"/>
          <w:sz w:val="26"/>
        </w:rPr>
        <w:t>Medical Clinic Management System — Business Rules Reference</w:t>
      </w:r>
    </w:p>
    <w:p>
      <w:pPr>
        <w:spacing w:before="360" w:after="160" w:line="276" w:lineRule="auto"/>
      </w:pPr>
      <w:r>
        <w:rPr>
          <w:rFonts w:ascii="Arial" w:hAnsi="Arial"/>
          <w:b/>
          <w:color w:val="1F4E79"/>
          <w:sz w:val="32"/>
        </w:rPr>
        <w:t>4.1 Business Rules (Improved)</w:t>
      </w:r>
    </w:p>
    <w:p>
      <w:pPr>
        <w:spacing w:before="0" w:after="240" w:line="276" w:lineRule="auto"/>
      </w:pPr>
      <w:r>
        <w:t>This section defines the operational rules, constraints, and validation logic governing the Medical Clinic Management System. These business rules ensure database integrity, security compliance, patient confidentiality (under healthcare standards), and smooth process flows for Customers, Staff, and Managers. The rules have been categorized by functional domains for clarity.</w:t>
      </w:r>
    </w:p>
    <w:p>
      <w:pPr>
        <w:spacing w:before="280" w:after="120" w:line="276" w:lineRule="auto"/>
      </w:pPr>
      <w:r>
        <w:rPr>
          <w:rFonts w:ascii="Arial" w:hAnsi="Arial"/>
          <w:b/>
          <w:color w:val="2E5C8A"/>
          <w:sz w:val="24"/>
        </w:rPr>
        <w:t>1. Authentication, Security &amp; Access Control (SEC)</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BR-01</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Email Uniqueness</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Each email address must be unique across all user accounts in the database. A single email address cannot be associated with more than one active or deactivated account.</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Strict System Lock</w:t>
            </w:r>
          </w:p>
          <w:p>
            <w:pPr>
              <w:spacing w:before="40" w:after="40" w:line="264" w:lineRule="auto"/>
              <w:jc w:val="left"/>
            </w:pPr>
            <w:r>
              <w:rPr>
                <w:rFonts w:ascii="Arial" w:hAnsi="Arial"/>
                <w:b/>
                <w:color w:val="C0392B"/>
                <w:sz w:val="18"/>
              </w:rPr>
              <w:t xml:space="preserve">Action: </w:t>
            </w:r>
            <w:r>
              <w:rPr>
                <w:rFonts w:ascii="Arial" w:hAnsi="Arial"/>
                <w:color w:val="333333"/>
                <w:sz w:val="18"/>
              </w:rPr>
              <w:t>Aborts registration. Throws exception and returns: 'Email address is already in use.'</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BR-02</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Email Format Validation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The email address must comply with the RFC 5322 standard electronic mail format (e.g., local-part@domain.extension). Checks for presence of '@', valid domain, and TLD.</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Frontend blocks input. Backend API validates with regex and returns: 'Invalid email format.'</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BR-03</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Password Complexity</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Passwords must contain a minimum of 6 characters. (Note: Recommended extension to at least 8 characters including uppercase, lowercase, numbers, and special characters).</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Form validation error: 'Password must be at least 6 characters long.'</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BR-04</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Password Match Verification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The value entered in the 'Confirm Password' field must be identical to the value in the 'Password' field during sign-up, password changes, or password resets.</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Form validation error: 'Passwords do not match.'</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BR-05</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Secure Password Hashing</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All passwords must be securely hashed using the BCrypt hashing algorithm (minimum work factor = 10) before database persistence. Plaintext passwords must never be stored, logged, or transmitted.</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Cryptographic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Standardized generic authentication response on mismatch: 'Invalid email or password.'</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BR-06</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Google Sign-in Restriction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Google Sign-in authentication is exclusively permitted for the 'Customer' role. Accounts associated with Staff, Managers, or Administrators must authenticate using email credentials or corporate SSO.</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Access Control Policy</w:t>
            </w:r>
          </w:p>
          <w:p>
            <w:pPr>
              <w:spacing w:before="40" w:after="40" w:line="264" w:lineRule="auto"/>
              <w:jc w:val="left"/>
            </w:pPr>
            <w:r>
              <w:rPr>
                <w:rFonts w:ascii="Arial" w:hAnsi="Arial"/>
                <w:b/>
                <w:color w:val="C0392B"/>
                <w:sz w:val="18"/>
              </w:rPr>
              <w:t xml:space="preserve">Action: </w:t>
            </w:r>
            <w:r>
              <w:rPr>
                <w:rFonts w:ascii="Arial" w:hAnsi="Arial"/>
                <w:color w:val="333333"/>
                <w:sz w:val="18"/>
              </w:rPr>
              <w:t>Aborts OAuth flow for non-customer emails. Displays: 'Google Sign-In is only allowed for Customers.'</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BR-07</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First-Time Google Sign-in Verification</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If a user attempts to sign in via Google and the associated email does not exist in the database, the system must trigger an email OTP verification before creating the Customer profile.</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Verification Flow</w:t>
            </w:r>
          </w:p>
          <w:p>
            <w:pPr>
              <w:spacing w:before="40" w:after="40" w:line="264" w:lineRule="auto"/>
              <w:jc w:val="left"/>
            </w:pPr>
            <w:r>
              <w:rPr>
                <w:rFonts w:ascii="Arial" w:hAnsi="Arial"/>
                <w:b/>
                <w:color w:val="C0392B"/>
                <w:sz w:val="18"/>
              </w:rPr>
              <w:t xml:space="preserve">Action: </w:t>
            </w:r>
            <w:r>
              <w:rPr>
                <w:rFonts w:ascii="Arial" w:hAnsi="Arial"/>
                <w:color w:val="333333"/>
                <w:sz w:val="18"/>
              </w:rPr>
              <w:t>Halts registration. Redirects user to OTP verification screen with an email notification containing the code.</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BR-08</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OTP Validity Window</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One-Time Passwords (OTPs) dispatched via email for registration verification or password reset are valid for exactly 5 minutes (300 seconds) from the generation timestamp.</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Time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Expires OTP in cache/session. Returns error: 'The verification code has expired. Please request a new code.'</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BR-18</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Brute-Force Lockout Policy</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An account must be temporarily locked for 15 minutes after 5 consecutive failed login attempts within a rolling 30-minute window to prevent brute-force attacks.</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Security Policy</w:t>
            </w:r>
          </w:p>
          <w:p>
            <w:pPr>
              <w:spacing w:before="40" w:after="40" w:line="264" w:lineRule="auto"/>
              <w:jc w:val="left"/>
            </w:pPr>
            <w:r>
              <w:rPr>
                <w:rFonts w:ascii="Arial" w:hAnsi="Arial"/>
                <w:b/>
                <w:color w:val="C0392B"/>
                <w:sz w:val="18"/>
              </w:rPr>
              <w:t xml:space="preserve">Action: </w:t>
            </w:r>
            <w:r>
              <w:rPr>
                <w:rFonts w:ascii="Arial" w:hAnsi="Arial"/>
                <w:color w:val="333333"/>
                <w:sz w:val="18"/>
              </w:rPr>
              <w:t>Sets account status to LOCKED and records lockout timestamp. Returns: 'Account locked due to 5 failed login attempts. Try again in 15 minutes.'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BR-19</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Account Deletion Restriction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Only users authenticated with the Administrator role can permanently delete an account. Managers and Staff are restricted to deactivating or banning accounts.</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Role-Based Access Control</w:t>
            </w:r>
          </w:p>
          <w:p>
            <w:pPr>
              <w:spacing w:before="40" w:after="40" w:line="264" w:lineRule="auto"/>
              <w:jc w:val="left"/>
            </w:pPr>
            <w:r>
              <w:rPr>
                <w:rFonts w:ascii="Arial" w:hAnsi="Arial"/>
                <w:b/>
                <w:color w:val="C0392B"/>
                <w:sz w:val="18"/>
              </w:rPr>
              <w:t xml:space="preserve">Action: </w:t>
            </w:r>
            <w:r>
              <w:rPr>
                <w:rFonts w:ascii="Arial" w:hAnsi="Arial"/>
                <w:color w:val="333333"/>
                <w:sz w:val="18"/>
              </w:rPr>
              <w:t>Throws authorization exception. Logs unauthorized delete attempt. Return code: 403 Forbidden.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BR-36</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Email Verification Link Expiry</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Email verification links dispatched during the signup process expire exactly 24 hours after generation.</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Time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Clicking an expired link displays an error: 'Verification link expired. Please register again or request a new link.'</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BR-37</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SQLi &amp; XSS Prevention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The system must enforce input sanitization, database query parameterization (using Hibernate/JPA ORM), and HTML entity escaping on all user input fields to prevent SQL injection and XSS.</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System Security Rule</w:t>
            </w:r>
          </w:p>
          <w:p>
            <w:pPr>
              <w:spacing w:before="40" w:after="40" w:line="264" w:lineRule="auto"/>
              <w:jc w:val="left"/>
            </w:pPr>
            <w:r>
              <w:rPr>
                <w:rFonts w:ascii="Arial" w:hAnsi="Arial"/>
                <w:b/>
                <w:color w:val="C0392B"/>
                <w:sz w:val="18"/>
              </w:rPr>
              <w:t xml:space="preserve">Action: </w:t>
            </w:r>
            <w:r>
              <w:rPr>
                <w:rFonts w:ascii="Arial" w:hAnsi="Arial"/>
                <w:color w:val="333333"/>
                <w:sz w:val="18"/>
              </w:rPr>
              <w:t>Backend filters intercept request payloads. Strips suspicious script tags or rejects payloads containing malicious SQL structures.</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BR-40</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Independent Account Age Limit</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Only individuals aged 18 or older (verified via Date of Birth) can create an independent account. Minors under 18 must be registered as dependents under a parent/guardian account.</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Signup form blocks submission if calculated age &lt; 18. Returns: 'Users under 18 must register through a parent or guardian.'</w:t>
            </w:r>
          </w:p>
        </w:tc>
      </w:tr>
    </w:tbl>
    <w:p>
      <w:pPr>
        <w:spacing w:after="160"/>
      </w:pPr>
    </w:p>
    <w:p>
      <w:pPr>
        <w:spacing w:before="280" w:after="120" w:line="276" w:lineRule="auto"/>
      </w:pPr>
      <w:r>
        <w:rPr>
          <w:rFonts w:ascii="Arial" w:hAnsi="Arial"/>
          <w:b/>
          <w:color w:val="2E5C8A"/>
          <w:sz w:val="24"/>
        </w:rPr>
        <w:t>2. Booking &amp; Reservation Management (BKM)</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BR-09</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Advance Booking Lead Time</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 medical reservation must be scheduled at least 24 hours prior to the requested time slot. Same-day or short-notice appointments are blocked.</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Business Schedule Lock</w:t>
            </w:r>
          </w:p>
          <w:p>
            <w:pPr>
              <w:spacing w:before="40" w:after="40" w:line="264" w:lineRule="auto"/>
              <w:jc w:val="left"/>
            </w:pPr>
            <w:r>
              <w:rPr>
                <w:rFonts w:ascii="Arial" w:hAnsi="Arial"/>
                <w:b/>
                <w:color w:val="C0392B"/>
                <w:sz w:val="18"/>
              </w:rPr>
              <w:t xml:space="preserve">Action: </w:t>
            </w:r>
            <w:r>
              <w:rPr>
                <w:rFonts w:ascii="Arial" w:hAnsi="Arial"/>
                <w:color w:val="333333"/>
                <w:sz w:val="18"/>
              </w:rPr>
              <w:t>Hides or disables all slots on the booking calendar within 24 hours from current datetime. Returns: 'Reservations must be made at least 24 hours in advance.'</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BR-10</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Timeslot Booking Exclusivity</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 specific time slot for a doctor (Staff role) can accept a maximum of 1 active (Pending or Confirmed) reservation at a given time. No double-bookings are permitted.</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Concurrency Lock</w:t>
            </w:r>
          </w:p>
          <w:p>
            <w:pPr>
              <w:spacing w:before="40" w:after="40" w:line="264" w:lineRule="auto"/>
              <w:jc w:val="left"/>
            </w:pPr>
            <w:r>
              <w:rPr>
                <w:rFonts w:ascii="Arial" w:hAnsi="Arial"/>
                <w:b/>
                <w:color w:val="C0392B"/>
                <w:sz w:val="18"/>
              </w:rPr>
              <w:t xml:space="preserve">Action: </w:t>
            </w:r>
            <w:r>
              <w:rPr>
                <w:rFonts w:ascii="Arial" w:hAnsi="Arial"/>
                <w:color w:val="333333"/>
                <w:sz w:val="18"/>
              </w:rPr>
              <w:t>Enforces database unique/index constraints. Second transaction attempting booking gets: 'The selected time slot is no longer available.'</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BR-11</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Cancellation Window Limit</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Customers can cancel their reservations only if the cancellation request is submitted at least 12 hours before the scheduled appointment start time.</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Time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Hides the 'Cancel' option on the frontend customer panel. API validates and returns: 'Reservations cannot be cancelled within 12 hours of the appointment.'</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BR-13</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Dynamic Booking Fee Calculation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The total reservation fee is calculated dynamically at the time of checkout based on the sum of the base prices of all selected medical services, plus any tax or discounts.</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Transactional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System processes backend recalculation at checkout. Discrepancies between front-end total and back-end total will block payment.</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BR-15</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Automatic No-Show Update</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If a reservation passes its scheduled time (plus a 30-minute grace period) without the customer checking in at the reception, the system automatically marks it as 'No-Show'.</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Scheduled Event Handler</w:t>
            </w:r>
          </w:p>
          <w:p>
            <w:pPr>
              <w:spacing w:before="40" w:after="40" w:line="264" w:lineRule="auto"/>
              <w:jc w:val="left"/>
            </w:pPr>
            <w:r>
              <w:rPr>
                <w:rFonts w:ascii="Arial" w:hAnsi="Arial"/>
                <w:b/>
                <w:color w:val="C0392B"/>
                <w:sz w:val="18"/>
              </w:rPr>
              <w:t xml:space="preserve">Action: </w:t>
            </w:r>
            <w:r>
              <w:rPr>
                <w:rFonts w:ascii="Arial" w:hAnsi="Arial"/>
                <w:color w:val="333333"/>
                <w:sz w:val="18"/>
              </w:rPr>
              <w:t>A scheduled background cron job runs every 15 minutes, scanning active reservations, changing matching reservation statuses to 'No-Show', and updating records.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BR-16</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Pending Reservation Limit</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 Customer is restricted to a maximum of 3 concurrent 'Pending' reservations. This prevents calendar hoarding, system abuse, and booking spam.</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Abuse Prevention Cap</w:t>
            </w:r>
          </w:p>
          <w:p>
            <w:pPr>
              <w:spacing w:before="40" w:after="40" w:line="264" w:lineRule="auto"/>
              <w:jc w:val="left"/>
            </w:pPr>
            <w:r>
              <w:rPr>
                <w:rFonts w:ascii="Arial" w:hAnsi="Arial"/>
                <w:b/>
                <w:color w:val="C0392B"/>
                <w:sz w:val="18"/>
              </w:rPr>
              <w:t xml:space="preserve">Action: </w:t>
            </w:r>
            <w:r>
              <w:rPr>
                <w:rFonts w:ascii="Arial" w:hAnsi="Arial"/>
                <w:color w:val="333333"/>
                <w:sz w:val="18"/>
              </w:rPr>
              <w:t>Disables booking creation. Returns error: 'You have reached the maximum limit of 3 pending reservations. Complete or cancel a booking to make a new one.'</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BR-24</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Rescheduling Lead Time &amp; Rules</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Rescheduling a reservation is only allowed if the new target slot is completely available, and the rescheduling request is submitted at least 12 hours prior to the original appointment time.</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Time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Disables 'Reschedule' button in Customer UI. API rejects requests and returns: 'Rescheduling must be requested at least 12 hours before the original slot.'</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BR-25</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Future Date Booking Validation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Customers cannot book any service for a past date or time. The booking date and timeslot must be in the future relative to the clinic's local timezone.</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Calendar component disables past dates. Backend returns error: 'Reservation date and time must be in the future.'</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BR-28</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Price Change Lock on Active Services</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 Manager cannot modify the base price of a medical service if that service is currently linked to an active, pending, or confirmed reservation. This protects patient invoice consistency.</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Data Lock Policy</w:t>
            </w:r>
          </w:p>
          <w:p>
            <w:pPr>
              <w:spacing w:before="40" w:after="40" w:line="264" w:lineRule="auto"/>
              <w:jc w:val="left"/>
            </w:pPr>
            <w:r>
              <w:rPr>
                <w:rFonts w:ascii="Arial" w:hAnsi="Arial"/>
                <w:b/>
                <w:color w:val="C0392B"/>
                <w:sz w:val="18"/>
              </w:rPr>
              <w:t xml:space="preserve">Action: </w:t>
            </w:r>
            <w:r>
              <w:rPr>
                <w:rFonts w:ascii="Arial" w:hAnsi="Arial"/>
                <w:color w:val="333333"/>
                <w:sz w:val="18"/>
              </w:rPr>
              <w:t>Disables edit actions in Manager Dashboard. Backend throws error: 'Cannot modify base price: Service is linked to active reservations.'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BR-29</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Branch-Level Schedule Access</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Staff (Doctors, Receptionists) can only query, view, and manage reservation lists assigned to their registered branch/location. Global access is blocked.</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Role &amp; Scope Constraint</w:t>
            </w:r>
          </w:p>
          <w:p>
            <w:pPr>
              <w:spacing w:before="40" w:after="40" w:line="264" w:lineRule="auto"/>
              <w:jc w:val="left"/>
            </w:pPr>
            <w:r>
              <w:rPr>
                <w:rFonts w:ascii="Arial" w:hAnsi="Arial"/>
                <w:b/>
                <w:color w:val="C0392B"/>
                <w:sz w:val="18"/>
              </w:rPr>
              <w:t xml:space="preserve">Action: </w:t>
            </w:r>
            <w:r>
              <w:rPr>
                <w:rFonts w:ascii="Arial" w:hAnsi="Arial"/>
                <w:color w:val="333333"/>
                <w:sz w:val="18"/>
              </w:rPr>
              <w:t>Applies a mandatory where-clause filter (`branch_id = current_user.branch_id`) to database queries. Attempts to access other branch logs return 403 Forbidden.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BR-32</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Completion Pre-requisite</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A reservation status cannot transition to 'Completed' until the assigned Staff (Doctor) has written, generated, and saved the corresponding Medical Record in the database.</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Workflow Integrity</w:t>
            </w:r>
          </w:p>
          <w:p>
            <w:pPr>
              <w:spacing w:before="40" w:after="40" w:line="264" w:lineRule="auto"/>
              <w:jc w:val="left"/>
            </w:pPr>
            <w:r>
              <w:rPr>
                <w:rFonts w:ascii="Arial" w:hAnsi="Arial"/>
                <w:b/>
                <w:color w:val="C0392B"/>
                <w:sz w:val="18"/>
              </w:rPr>
              <w:t xml:space="preserve">Action: </w:t>
            </w:r>
            <w:r>
              <w:rPr>
                <w:rFonts w:ascii="Arial" w:hAnsi="Arial"/>
                <w:color w:val="333333"/>
                <w:sz w:val="18"/>
              </w:rPr>
              <w:t>Blocks completion status update in UI/API. Returns: 'Cannot mark reservation as completed: No Medical Record found.'</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BR-33</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Doctor Absence Cancellation Flow</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If a Doctor cancels their availability or shift, the system must auto-cancel all affected reservations, dispatch cancellation notices (email/SMS) to Customers, and provide links to reschedule free of charge.</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System Trigger</w:t>
            </w:r>
          </w:p>
          <w:p>
            <w:pPr>
              <w:spacing w:before="40" w:after="40" w:line="264" w:lineRule="auto"/>
              <w:jc w:val="left"/>
            </w:pPr>
            <w:r>
              <w:rPr>
                <w:rFonts w:ascii="Arial" w:hAnsi="Arial"/>
                <w:b/>
                <w:color w:val="C0392B"/>
                <w:sz w:val="18"/>
              </w:rPr>
              <w:t xml:space="preserve">Action: </w:t>
            </w:r>
            <w:r>
              <w:rPr>
                <w:rFonts w:ascii="Arial" w:hAnsi="Arial"/>
                <w:color w:val="333333"/>
                <w:sz w:val="18"/>
              </w:rPr>
              <w:t>Executes batch update script to cancel bookings. Triggers notifications and logs event under 'Clinic Cancellations'.</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BR-39</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Service Soft-Deletion Policy</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Medical services cannot be hard-deleted from the database. They must be flagged as 'Inactive' (soft-delete) to preserve historical billing, invoicing, and booking records.</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Data Integrity Rule</w:t>
            </w:r>
          </w:p>
          <w:p>
            <w:pPr>
              <w:spacing w:before="40" w:after="40" w:line="264" w:lineRule="auto"/>
              <w:jc w:val="left"/>
            </w:pPr>
            <w:r>
              <w:rPr>
                <w:rFonts w:ascii="Arial" w:hAnsi="Arial"/>
                <w:b/>
                <w:color w:val="C0392B"/>
                <w:sz w:val="18"/>
              </w:rPr>
              <w:t xml:space="preserve">Action: </w:t>
            </w:r>
            <w:r>
              <w:rPr>
                <w:rFonts w:ascii="Arial" w:hAnsi="Arial"/>
                <w:color w:val="333333"/>
                <w:sz w:val="18"/>
              </w:rPr>
              <w:t>Toggles `is_active = false` on service entity. Service is excluded from customer selection views but remains visible in database reporting.</w:t>
            </w:r>
          </w:p>
        </w:tc>
      </w:tr>
    </w:tbl>
    <w:p>
      <w:pPr>
        <w:spacing w:after="160"/>
      </w:pPr>
    </w:p>
    <w:p>
      <w:pPr>
        <w:spacing w:before="280" w:after="120" w:line="276" w:lineRule="auto"/>
      </w:pPr>
      <w:r>
        <w:rPr>
          <w:rFonts w:ascii="Arial" w:hAnsi="Arial"/>
          <w:b/>
          <w:color w:val="2E5C8A"/>
          <w:sz w:val="24"/>
        </w:rPr>
        <w:t>3. Medical Records &amp; Clinical Care (MED)</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BR-14</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Prescription Issuance Authority</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Medical prescriptions can only be authored and issued by users authenticated with the Staff (Doctor) role. Receptionists and Managers are barred from editing prescriptions.</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Role-Based Access Control</w:t>
            </w:r>
          </w:p>
          <w:p>
            <w:pPr>
              <w:spacing w:before="40" w:after="40" w:line="264" w:lineRule="auto"/>
              <w:jc w:val="left"/>
            </w:pPr>
            <w:r>
              <w:rPr>
                <w:rFonts w:ascii="Arial" w:hAnsi="Arial"/>
                <w:b/>
                <w:color w:val="C0392B"/>
                <w:sz w:val="18"/>
              </w:rPr>
              <w:t xml:space="preserve">Action: </w:t>
            </w:r>
            <w:r>
              <w:rPr>
                <w:rFonts w:ascii="Arial" w:hAnsi="Arial"/>
                <w:color w:val="333333"/>
                <w:sz w:val="18"/>
              </w:rPr>
              <w:t>Backend checks roles. Returns error: 'Access Denied: Only Doctors can issue medical prescriptions.'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BR-17</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Medical Record Privacy Policy</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Patient medical records and histories are strictly confidential. Access is limited to the patient themselves (Customer owner) and the assigned Doctor. Admins can audit access logs but cannot view clinical notes.</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HIPAA Compliance Control</w:t>
            </w:r>
          </w:p>
          <w:p>
            <w:pPr>
              <w:spacing w:before="40" w:after="40" w:line="264" w:lineRule="auto"/>
              <w:jc w:val="left"/>
            </w:pPr>
            <w:r>
              <w:rPr>
                <w:rFonts w:ascii="Arial" w:hAnsi="Arial"/>
                <w:b/>
                <w:color w:val="C0392B"/>
                <w:sz w:val="18"/>
              </w:rPr>
              <w:t xml:space="preserve">Action: </w:t>
            </w:r>
            <w:r>
              <w:rPr>
                <w:rFonts w:ascii="Arial" w:hAnsi="Arial"/>
                <w:color w:val="333333"/>
                <w:sz w:val="18"/>
              </w:rPr>
              <w:t>Verifies authenticated user ID matches `patient_id` or `doctor_id` on the record. Returns 403 Forbidden if not authorized.</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BR-26</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Healthcare Data Retention Policy</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To comply with national medical retention policies, the system must retain all medical histories, examinations, diagnostics, and prescriptions for a minimum of 5 years.</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Compliance Policy</w:t>
            </w:r>
          </w:p>
          <w:p>
            <w:pPr>
              <w:spacing w:before="40" w:after="40" w:line="264" w:lineRule="auto"/>
              <w:jc w:val="left"/>
            </w:pPr>
            <w:r>
              <w:rPr>
                <w:rFonts w:ascii="Arial" w:hAnsi="Arial"/>
                <w:b/>
                <w:color w:val="C0392B"/>
                <w:sz w:val="18"/>
              </w:rPr>
              <w:t xml:space="preserve">Action: </w:t>
            </w:r>
            <w:r>
              <w:rPr>
                <w:rFonts w:ascii="Arial" w:hAnsi="Arial"/>
                <w:color w:val="333333"/>
                <w:sz w:val="18"/>
              </w:rPr>
              <w:t>Disables deletion features on medical records. Cron jobs for archives ignore entries created within the last 5 years.</w:t>
            </w:r>
          </w:p>
        </w:tc>
      </w:tr>
      <w:tr>
        <w:tc>
          <w:tcPr>
            <w:tcW w:type="dxa" w:w="1008"/>
            <w:vAlign w:val="center"/>
            <w:shd w:val="clear" w:color="auto" w:fill="FFFFFF"/>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BR-27</w:t>
            </w:r>
          </w:p>
        </w:tc>
        <w:tc>
          <w:tcPr>
            <w:tcW w:type="dxa" w:w="1872"/>
            <w:vAlign w:val="center"/>
            <w:shd w:val="clear" w:color="auto" w:fill="FFFFFF"/>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Prescription Medicine Validation</w:t>
            </w:r>
          </w:p>
        </w:tc>
        <w:tc>
          <w:tcPr>
            <w:tcW w:type="dxa" w:w="4464"/>
            <w:vAlign w:val="center"/>
            <w:shd w:val="clear" w:color="auto" w:fill="FFFFFF"/>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All medicines written into a prescription must exist in the active Medicine Inventory Catalog. Prescribing discontinued or non-existing medicines is blocked.</w:t>
            </w:r>
          </w:p>
        </w:tc>
        <w:tc>
          <w:tcPr>
            <w:tcW w:type="dxa" w:w="2016"/>
            <w:vAlign w:val="center"/>
            <w:shd w:val="clear" w:color="auto" w:fill="FFFFFF"/>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Referential Integrity</w:t>
            </w:r>
          </w:p>
          <w:p>
            <w:pPr>
              <w:spacing w:before="40" w:after="40" w:line="264" w:lineRule="auto"/>
              <w:jc w:val="left"/>
            </w:pPr>
            <w:r>
              <w:rPr>
                <w:rFonts w:ascii="Arial" w:hAnsi="Arial"/>
                <w:b/>
                <w:color w:val="C0392B"/>
                <w:sz w:val="18"/>
              </w:rPr>
              <w:t xml:space="preserve">Action: </w:t>
            </w:r>
            <w:r>
              <w:rPr>
                <w:rFonts w:ascii="Arial" w:hAnsi="Arial"/>
                <w:color w:val="333333"/>
                <w:sz w:val="18"/>
              </w:rPr>
              <w:t>Frontend renders dropdown from active medicines. Backend validates item IDs and returns: 'Selected medicine is invalid or inactive.'</w:t>
            </w:r>
          </w:p>
        </w:tc>
      </w:tr>
    </w:tbl>
    <w:p>
      <w:pPr>
        <w:spacing w:after="160"/>
      </w:pPr>
    </w:p>
    <w:p>
      <w:pPr>
        <w:spacing w:before="280" w:after="120" w:line="276" w:lineRule="auto"/>
      </w:pPr>
      <w:r>
        <w:rPr>
          <w:rFonts w:ascii="Arial" w:hAnsi="Arial"/>
          <w:b/>
          <w:color w:val="2E5C8A"/>
          <w:sz w:val="24"/>
        </w:rPr>
        <w:t>4. Feedback &amp; Ratings (FDB)</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BR-12</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Verified Customer Reviews</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Customers can submit feedback or ratings for a service only if they have a completed reservation matching that specific service in their history.</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System queries booking history. If no completed reservation exists, the feedback form is disabled. Returns: 'Feedback is only allowed for completed services.'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BR-20</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Integer Rating Scale</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Feedback ratings must be integers on a scale of 1 to 5 (inclusive). Decimals or fractional ratings are rejected.</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Input schema enforces integer types [1, 2, 3, 4, 5]. Returns error: 'Rating must be a whole number between 1 and 5.'</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BR-21</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Feedback Comment Length Limit</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Feedback textual comments must not exceed a maximum limit of 1000 characters.</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Validation Rule</w:t>
            </w:r>
          </w:p>
          <w:p>
            <w:pPr>
              <w:spacing w:before="40" w:after="40" w:line="264" w:lineRule="auto"/>
              <w:jc w:val="left"/>
            </w:pPr>
            <w:r>
              <w:rPr>
                <w:rFonts w:ascii="Arial" w:hAnsi="Arial"/>
                <w:b/>
                <w:color w:val="C0392B"/>
                <w:sz w:val="18"/>
              </w:rPr>
              <w:t xml:space="preserve">Action: </w:t>
            </w:r>
            <w:r>
              <w:rPr>
                <w:rFonts w:ascii="Arial" w:hAnsi="Arial"/>
                <w:color w:val="333333"/>
                <w:sz w:val="18"/>
              </w:rPr>
              <w:t>Frontend restricts typing to 1000 characters. Backend rejects input and returns: 'Comment cannot exceed 1000 characters.'</w:t>
            </w:r>
          </w:p>
        </w:tc>
      </w:tr>
    </w:tbl>
    <w:p>
      <w:pPr>
        <w:spacing w:after="160"/>
      </w:pPr>
    </w:p>
    <w:p>
      <w:pPr>
        <w:spacing w:before="280" w:after="120" w:line="276" w:lineRule="auto"/>
      </w:pPr>
      <w:r>
        <w:rPr>
          <w:rFonts w:ascii="Arial" w:hAnsi="Arial"/>
          <w:b/>
          <w:color w:val="2E5C8A"/>
          <w:sz w:val="24"/>
        </w:rPr>
        <w:t>5. Content &amp; Settings Management (CNT)</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BR-22</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Blog Publication Approval Flow</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Blog posts authored by Staff members remain in 'Draft' or 'Pending Review' status. A Manager must manually review and approve a post before it is visible on the public Guest Site.</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Workflow Policy</w:t>
            </w:r>
          </w:p>
          <w:p>
            <w:pPr>
              <w:spacing w:before="40" w:after="40" w:line="264" w:lineRule="auto"/>
              <w:jc w:val="left"/>
            </w:pPr>
            <w:r>
              <w:rPr>
                <w:rFonts w:ascii="Arial" w:hAnsi="Arial"/>
                <w:b/>
                <w:color w:val="C0392B"/>
                <w:sz w:val="18"/>
              </w:rPr>
              <w:t xml:space="preserve">Action: </w:t>
            </w:r>
            <w:r>
              <w:rPr>
                <w:rFonts w:ascii="Arial" w:hAnsi="Arial"/>
                <w:color w:val="333333"/>
                <w:sz w:val="18"/>
              </w:rPr>
              <w:t>Public API queries filter by `status = PUBLISHED`. Non-approved posts remain hidden. Action restricted to Managers.</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BR-23</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Active Slider Limit</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The homepage carousel/slider can display a maximum of 5 active promotional banners or sliders simultaneously. Active status is toggled by a Manager.</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System Cap</w:t>
            </w:r>
          </w:p>
          <w:p>
            <w:pPr>
              <w:spacing w:before="40" w:after="40" w:line="264" w:lineRule="auto"/>
              <w:jc w:val="left"/>
            </w:pPr>
            <w:r>
              <w:rPr>
                <w:rFonts w:ascii="Arial" w:hAnsi="Arial"/>
                <w:b/>
                <w:color w:val="C0392B"/>
                <w:sz w:val="18"/>
              </w:rPr>
              <w:t xml:space="preserve">Action: </w:t>
            </w:r>
            <w:r>
              <w:rPr>
                <w:rFonts w:ascii="Arial" w:hAnsi="Arial"/>
                <w:color w:val="333333"/>
                <w:sz w:val="18"/>
              </w:rPr>
              <w:t>Toggling a 6th slider to active is blocked. Returns: 'Maximum limit of 5 active sliders reached. Deactivate an active slider first.'</w:t>
            </w:r>
          </w:p>
        </w:tc>
      </w:tr>
      <w:tr>
        <w:tc>
          <w:tcPr>
            <w:tcW w:type="dxa" w:w="1008"/>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BR-30</w:t>
            </w:r>
          </w:p>
        </w:tc>
        <w:tc>
          <w:tcPr>
            <w:tcW w:type="dxa" w:w="1872"/>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Marketing Opt-in Consent</w:t>
            </w:r>
          </w:p>
        </w:tc>
        <w:tc>
          <w:tcPr>
            <w:tcW w:type="dxa" w:w="4464"/>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Promotional campaigns, newsletters, and announcements can only be dispatched to Customer emails if the customer has checked the newsletter opt-in consent flag.</w:t>
            </w:r>
          </w:p>
        </w:tc>
        <w:tc>
          <w:tcPr>
            <w:tcW w:type="dxa" w:w="2016"/>
            <w:vAlign w:val="center"/>
            <w:shd w:val="clear" w:color="auto" w:fill="F4F7FA"/>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Legal/Anti-Spam Filter</w:t>
            </w:r>
          </w:p>
          <w:p>
            <w:pPr>
              <w:spacing w:before="40" w:after="40" w:line="264" w:lineRule="auto"/>
              <w:jc w:val="left"/>
            </w:pPr>
            <w:r>
              <w:rPr>
                <w:rFonts w:ascii="Arial" w:hAnsi="Arial"/>
                <w:b/>
                <w:color w:val="C0392B"/>
                <w:sz w:val="18"/>
              </w:rPr>
              <w:t xml:space="preserve">Action: </w:t>
            </w:r>
            <w:r>
              <w:rPr>
                <w:rFonts w:ascii="Arial" w:hAnsi="Arial"/>
                <w:color w:val="333333"/>
                <w:sz w:val="18"/>
              </w:rPr>
              <w:t>Emails are only sent to accounts where `marketing_opt_in = true` is recorded.</w:t>
            </w:r>
          </w:p>
        </w:tc>
      </w:tr>
      <w:tr>
        <w:tc>
          <w:tcPr>
            <w:tcW w:type="dxa" w:w="1008"/>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center"/>
            </w:pPr>
            <w:r>
              <w:rPr>
                <w:rFonts w:ascii="Arial" w:hAnsi="Arial"/>
                <w:b/>
                <w:color w:val="1F4E79"/>
                <w:sz w:val="18"/>
              </w:rPr>
              <w:t>BR-31</w:t>
            </w:r>
          </w:p>
        </w:tc>
        <w:tc>
          <w:tcPr>
            <w:tcW w:type="dxa" w:w="1872"/>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333333"/>
                <w:sz w:val="18"/>
              </w:rPr>
              <w:t>Global System Settings Modification</w:t>
            </w:r>
          </w:p>
        </w:tc>
        <w:tc>
          <w:tcPr>
            <w:tcW w:type="dxa" w:w="4464"/>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val="0"/>
                <w:color w:val="333333"/>
                <w:sz w:val="18"/>
              </w:rPr>
              <w:t>Global parameters (e.g., maximum bookings cap, default tax, lock timings) can only be altered by users authenticated with the Administrator role.</w:t>
            </w:r>
          </w:p>
        </w:tc>
        <w:tc>
          <w:tcPr>
            <w:tcW w:type="dxa" w:w="2016"/>
            <w:vAlign w:val="center"/>
            <w:shd w:val="clear" w:color="auto" w:fill="FFFFFF"/>
            <w:tcMar>
              <w:top w:w="120" w:type="dxa"/>
              <w:bottom w:w="120" w:type="dxa"/>
              <w:left w:w="140" w:type="dxa"/>
              <w:right w:w="140" w:type="dxa"/>
            </w:tcMar>
            <w:tcBorders>
              <w:bottom w:val="single" w:sz="4" w:color="E0E0E0"/>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Role-Based Access Control</w:t>
            </w:r>
          </w:p>
          <w:p>
            <w:pPr>
              <w:spacing w:before="40" w:after="40" w:line="264" w:lineRule="auto"/>
              <w:jc w:val="left"/>
            </w:pPr>
            <w:r>
              <w:rPr>
                <w:rFonts w:ascii="Arial" w:hAnsi="Arial"/>
                <w:b/>
                <w:color w:val="C0392B"/>
                <w:sz w:val="18"/>
              </w:rPr>
              <w:t xml:space="preserve">Action: </w:t>
            </w:r>
            <w:r>
              <w:rPr>
                <w:rFonts w:ascii="Arial" w:hAnsi="Arial"/>
                <w:color w:val="333333"/>
                <w:sz w:val="18"/>
              </w:rPr>
              <w:t>Restricts write access to global config database. Returns: 'Access Denied: Only Administrators can modify global settings.'</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BR-35</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Media Size &amp; Format Constraints</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Images uploaded for Sliders, Banners, or Blog attachments must not exceed 5MB in size and must be in JPG, JPEG, or PNG format.</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Resource Validation</w:t>
            </w:r>
          </w:p>
          <w:p>
            <w:pPr>
              <w:spacing w:before="40" w:after="40" w:line="264" w:lineRule="auto"/>
              <w:jc w:val="left"/>
            </w:pPr>
            <w:r>
              <w:rPr>
                <w:rFonts w:ascii="Arial" w:hAnsi="Arial"/>
                <w:b/>
                <w:color w:val="C0392B"/>
                <w:sz w:val="18"/>
              </w:rPr>
              <w:t xml:space="preserve">Action: </w:t>
            </w:r>
            <w:r>
              <w:rPr>
                <w:rFonts w:ascii="Arial" w:hAnsi="Arial"/>
                <w:color w:val="333333"/>
                <w:sz w:val="18"/>
              </w:rPr>
              <w:t>System inspects file properties. Rejects uploads and returns: 'Invalid file. Format must be JPG/PNG and size under 5MB.'</w:t>
            </w:r>
          </w:p>
        </w:tc>
      </w:tr>
    </w:tbl>
    <w:p>
      <w:pPr>
        <w:spacing w:after="160"/>
      </w:pPr>
    </w:p>
    <w:p>
      <w:pPr>
        <w:spacing w:before="280" w:after="120" w:line="276" w:lineRule="auto"/>
      </w:pPr>
      <w:r>
        <w:rPr>
          <w:rFonts w:ascii="Arial" w:hAnsi="Arial"/>
          <w:b/>
          <w:color w:val="2E5C8A"/>
          <w:sz w:val="24"/>
        </w:rPr>
        <w:t>6. Financials &amp; Invoicing (FIN)</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BR-34</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Settled Invoice Immutability</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Invoices must display VAT calculations (if any) and all itemized charges. Once the status transitions to 'Settled' or 'Paid', the invoice record becomes read-only and cannot be updated, edited, or deleted.</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Audit &amp; Financial Integrity</w:t>
            </w:r>
          </w:p>
          <w:p>
            <w:pPr>
              <w:spacing w:before="40" w:after="40" w:line="264" w:lineRule="auto"/>
              <w:jc w:val="left"/>
            </w:pPr>
            <w:r>
              <w:rPr>
                <w:rFonts w:ascii="Arial" w:hAnsi="Arial"/>
                <w:b/>
                <w:color w:val="C0392B"/>
                <w:sz w:val="18"/>
              </w:rPr>
              <w:t xml:space="preserve">Action: </w:t>
            </w:r>
            <w:r>
              <w:rPr>
                <w:rFonts w:ascii="Arial" w:hAnsi="Arial"/>
                <w:color w:val="333333"/>
                <w:sz w:val="18"/>
              </w:rPr>
              <w:t>Database triggers and backend checks block write operations. Returns error: 'Settled invoices are locked and cannot be edited.'</w:t>
            </w:r>
          </w:p>
        </w:tc>
      </w:tr>
    </w:tbl>
    <w:p>
      <w:pPr>
        <w:spacing w:after="160"/>
      </w:pPr>
    </w:p>
    <w:p>
      <w:pPr>
        <w:spacing w:before="280" w:after="120" w:line="276" w:lineRule="auto"/>
      </w:pPr>
      <w:r>
        <w:rPr>
          <w:rFonts w:ascii="Arial" w:hAnsi="Arial"/>
          <w:b/>
          <w:color w:val="2E5C8A"/>
          <w:sz w:val="24"/>
        </w:rPr>
        <w:t>7. System Constraints &amp; Time Standards (SYS)</w:t>
      </w:r>
    </w:p>
    <w:tbl>
      <w:tblPr>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center"/>
            </w:pPr>
            <w:r>
              <w:rPr>
                <w:rFonts w:ascii="Arial" w:hAnsi="Arial"/>
                <w:b/>
                <w:color w:val="FFFFFF"/>
                <w:sz w:val="19"/>
              </w:rPr>
              <w:t>ID</w:t>
            </w:r>
          </w:p>
        </w:tc>
        <w:tc>
          <w:tcPr>
            <w:tcW w:type="dxa" w:w="1872"/>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Rule Title</w:t>
            </w:r>
          </w:p>
        </w:tc>
        <w:tc>
          <w:tcPr>
            <w:tcW w:type="dxa" w:w="4464"/>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Description &amp; Constraints</w:t>
            </w:r>
          </w:p>
        </w:tc>
        <w:tc>
          <w:tcPr>
            <w:tcW w:type="dxa" w:w="2016"/>
            <w:vAlign w:val="center"/>
            <w:shd w:val="clear" w:color="auto" w:fill="1F4E79"/>
            <w:tcMar>
              <w:top w:w="140" w:type="dxa"/>
              <w:bottom w:w="140" w:type="dxa"/>
              <w:left w:w="140" w:type="dxa"/>
              <w:right w:w="140" w:type="dxa"/>
            </w:tcMar>
            <w:tcBorders>
              <w:bottom w:val="single" w:sz="12" w:color="1F4E79"/>
              <w:top w:val="none"/>
              <w:left w:val="none"/>
              <w:right w:val="none"/>
              <w:insideH w:val="none"/>
              <w:insideV w:val="none"/>
            </w:tcBorders>
          </w:tcPr>
          <w:p>
            <w:pPr>
              <w:spacing w:before="40" w:after="40" w:line="252" w:lineRule="auto"/>
              <w:jc w:val="left"/>
            </w:pPr>
            <w:r>
              <w:rPr>
                <w:rFonts w:ascii="Arial" w:hAnsi="Arial"/>
                <w:b/>
                <w:color w:val="FFFFFF"/>
                <w:sz w:val="19"/>
              </w:rPr>
              <w:t>Enforcement &amp; Action</w:t>
            </w:r>
          </w:p>
        </w:tc>
      </w:tr>
      <w:tr>
        <w:tc>
          <w:tcPr>
            <w:tcW w:type="dxa" w:w="1008"/>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center"/>
            </w:pPr>
            <w:r>
              <w:rPr>
                <w:rFonts w:ascii="Arial" w:hAnsi="Arial"/>
                <w:b/>
                <w:color w:val="1F4E79"/>
                <w:sz w:val="18"/>
              </w:rPr>
              <w:t>BR-38</w:t>
            </w:r>
          </w:p>
        </w:tc>
        <w:tc>
          <w:tcPr>
            <w:tcW w:type="dxa" w:w="1872"/>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333333"/>
                <w:sz w:val="18"/>
              </w:rPr>
              <w:t>Standard System Timezone</w:t>
            </w:r>
          </w:p>
        </w:tc>
        <w:tc>
          <w:tcPr>
            <w:tcW w:type="dxa" w:w="4464"/>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val="0"/>
                <w:color w:val="333333"/>
                <w:sz w:val="18"/>
              </w:rPr>
              <w:t>All system date-time operations, logs, and transaction timestamps must be standardized and synchronized to the UTC+7 (Indochina Time / GMT+7) timezone.</w:t>
            </w:r>
          </w:p>
        </w:tc>
        <w:tc>
          <w:tcPr>
            <w:tcW w:type="dxa" w:w="2016"/>
            <w:vAlign w:val="center"/>
            <w:shd w:val="clear" w:color="auto" w:fill="F4F7FA"/>
            <w:tcMar>
              <w:top w:w="120" w:type="dxa"/>
              <w:bottom w:w="120" w:type="dxa"/>
              <w:left w:w="140" w:type="dxa"/>
              <w:right w:w="140" w:type="dxa"/>
            </w:tcMar>
            <w:tcBorders>
              <w:bottom w:val="single" w:sz="12" w:color="1F4E79"/>
              <w:top w:val="none"/>
              <w:left w:val="none"/>
              <w:right w:val="none"/>
              <w:insideH w:val="none"/>
              <w:insideV w:val="none"/>
            </w:tcBorders>
          </w:tcPr>
          <w:p>
            <w:pPr>
              <w:spacing w:before="40" w:after="40" w:line="264" w:lineRule="auto"/>
              <w:jc w:val="left"/>
            </w:pPr>
            <w:r>
              <w:rPr>
                <w:rFonts w:ascii="Arial" w:hAnsi="Arial"/>
                <w:b/>
                <w:color w:val="1F4E79"/>
                <w:sz w:val="18"/>
              </w:rPr>
              <w:t xml:space="preserve">Level: </w:t>
            </w:r>
            <w:r>
              <w:rPr>
                <w:rFonts w:ascii="Arial" w:hAnsi="Arial"/>
                <w:color w:val="333333"/>
                <w:sz w:val="18"/>
              </w:rPr>
              <w:t>System Standard</w:t>
            </w:r>
          </w:p>
          <w:p>
            <w:pPr>
              <w:spacing w:before="40" w:after="40" w:line="264" w:lineRule="auto"/>
              <w:jc w:val="left"/>
            </w:pPr>
            <w:r>
              <w:rPr>
                <w:rFonts w:ascii="Arial" w:hAnsi="Arial"/>
                <w:b/>
                <w:color w:val="C0392B"/>
                <w:sz w:val="18"/>
              </w:rPr>
              <w:t xml:space="preserve">Action: </w:t>
            </w:r>
            <w:r>
              <w:rPr>
                <w:rFonts w:ascii="Arial" w:hAnsi="Arial"/>
                <w:color w:val="333333"/>
                <w:sz w:val="18"/>
              </w:rPr>
              <w:t>Enforced by setting application JVM timezone and database timezone configs to UTC+7. Outputs are formatted in standard ISO-8601.</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