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Cấu trúc dữ liệu thu được chứa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thành phần liên thông. Tất cả các phần tử từ 1 đến n-1 đều được hợp nhất trực tiếp hoặc gián tiếp với phần tử 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Tổng số cập nhật:</w:t>
      </w:r>
      <w:r w:rsidDel="00000000" w:rsidR="00000000" w:rsidRPr="00000000">
        <w:rPr>
          <w:rtl w:val="0"/>
        </w:rPr>
        <w:t xml:space="preserve"> 1+2+3+⋯+(n−1)=n(n−1) /2 do đó n(n−1) /2~n^2/2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Với quick-union và quy ước không thay đổi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parent[q]</w:t>
      </w:r>
      <w:r w:rsidDel="00000000" w:rsidR="00000000" w:rsidRPr="00000000">
        <w:rPr>
          <w:sz w:val="24"/>
          <w:szCs w:val="24"/>
          <w:rtl w:val="0"/>
        </w:rPr>
        <w:t xml:space="preserve">, chuỗi union tạo ra một cây dạng dây 0-&gt;1-&gt;2-&gt;...-&gt;n-1. Có n−1 cạnh cần đi qua, nên số lần truy cập mảng tăng tuyến tính theo n: Θ(n).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Θ1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