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276" w:lineRule="auto" w:after="120"/>
        <w:jc w:val="center"/>
      </w:pPr>
      <w:r>
        <w:rPr>
          <w:rFonts w:ascii="Times New Roman" w:hAnsi="Times New Roman"/>
          <w:b/>
          <w:sz w:val="28"/>
        </w:rPr>
        <w:t xml:space="preserve">TRƯỜNG ĐẠI HỌC KHOA HỌC TỰ NHIÊN / BÁCH KHOA</w:t>
      </w:r>
    </w:p>
    <w:p>
      <w:pPr>
        <w:spacing w:line="276" w:lineRule="auto" w:after="120"/>
        <w:jc w:val="center"/>
      </w:pPr>
      <w:r>
        <w:rPr>
          <w:rFonts w:ascii="Times New Roman" w:hAnsi="Times New Roman"/>
          <w:b/>
          <w:sz w:val="26"/>
        </w:rPr>
        <w:t xml:space="preserve">KHOA CÔNG NGHỆ THÔNG TIN</w:t>
      </w:r>
    </w:p>
    <w:p>
      <w:pPr>
        <w:spacing w:line="276" w:lineRule="auto" w:after="120"/>
        <w:jc w:val="center"/>
      </w:pPr>
      <w:r>
        <w:rPr>
          <w:rFonts w:ascii="Times New Roman" w:hAnsi="Times New Roman"/>
          <w:sz w:val="24"/>
        </w:rPr>
        <w:t xml:space="preserve">-------------------------***-------------------------</w:t>
      </w:r>
    </w:p>
    <w:p>
      <w:pPr>
        <w:spacing w:line="276" w:lineRule="auto" w:after="120"/>
        <w:jc w:val="center"/>
      </w:pPr>
    </w:p>
    <w:p>
      <w:pPr>
        <w:spacing w:line="276" w:lineRule="auto" w:after="120"/>
        <w:jc w:val="center"/>
      </w:pPr>
      <w:r>
        <w:rPr>
          <w:rFonts w:ascii="Times New Roman" w:hAnsi="Times New Roman"/>
          <w:b/>
          <w:sz w:val="32"/>
        </w:rPr>
        <w:t xml:space="preserve">BÁO CÁO ĐỒ ÁN MÔN HỌC</w:t>
      </w:r>
    </w:p>
    <w:p>
      <w:pPr>
        <w:spacing w:line="276" w:lineRule="auto" w:after="120"/>
        <w:jc w:val="center"/>
      </w:pPr>
      <w:r>
        <w:rPr>
          <w:rFonts w:ascii="Times New Roman" w:hAnsi="Times New Roman"/>
          <w:b/>
          <w:sz w:val="30"/>
        </w:rPr>
        <w:t xml:space="preserve">MÔ HÌNH HÓA USE CASE VÀ BIỂU ĐỒ TUẦN TỰ BCE</w:t>
      </w:r>
    </w:p>
    <w:p>
      <w:pPr>
        <w:spacing w:line="276" w:lineRule="auto" w:after="120"/>
        <w:jc w:val="center"/>
      </w:pPr>
    </w:p>
    <w:p>
      <w:pPr>
        <w:spacing w:line="276" w:lineRule="auto" w:after="120"/>
        <w:jc w:val="center"/>
      </w:pPr>
      <w:r>
        <w:rPr>
          <w:rFonts w:ascii="Times New Roman" w:hAnsi="Times New Roman"/>
          <w:b/>
          <w:sz w:val="28"/>
        </w:rPr>
        <w:t xml:space="preserve">ĐỀ TÀI: HỆ THỐNG QUẢN LÝ VÀ ĐẶT LỊCH KHÁM PHÒNG KHÁM TƯ NHÂN (MEDCLINIC)</w:t>
      </w:r>
    </w:p>
    <w:p>
      <w:pPr>
        <w:spacing w:line="276" w:lineRule="auto" w:after="120"/>
        <w:jc w:val="center"/>
      </w:pPr>
      <w:r>
        <w:rPr>
          <w:rFonts w:ascii="Times New Roman" w:hAnsi="Times New Roman"/>
          <w:b/>
          <w:sz w:val="36"/>
        </w:rPr>
        <w:t xml:space="preserve">BÁO CÁO MÔ HÌNH HÓA YÊU CẦU</w:t>
      </w:r>
    </w:p>
    <w:p>
      <w:pPr>
        <w:spacing w:line="276" w:lineRule="auto" w:after="120"/>
        <w:jc w:val="center"/>
      </w:pPr>
      <w:r>
        <w:rPr>
          <w:rFonts w:ascii="Times New Roman" w:hAnsi="Times New Roman"/>
          <w:b/>
          <w:sz w:val="28"/>
        </w:rPr>
        <w:t xml:space="preserve">HỆ THỐNG QUẢN LÝ VÀ ĐẶT LỊCH KHÁM PHÒNG KHÁM TƯ NHÂN (MEDCLINIC)</w:t>
      </w:r>
    </w:p>
    <w:p>
      <w:pPr>
        <w:spacing w:line="276" w:lineRule="auto" w:after="120"/>
        <w:jc w:val="center"/>
      </w:pPr>
    </w:p>
    <w:p>
      <w:pPr>
        <w:spacing w:line="276" w:lineRule="auto" w:after="120"/>
        <w:jc w:val="left"/>
      </w:pPr>
      <w:r>
        <w:rPr>
          <w:rFonts w:ascii="Times New Roman" w:hAnsi="Times New Roman"/>
          <w:sz w:val="26"/>
        </w:rPr>
        <w:t xml:space="preserve">Giảng viên hướng dẫn: Bộ môn Công nghệ Phần mềm &amp; Lập trình Web</w:t>
      </w:r>
    </w:p>
    <w:p>
      <w:pPr>
        <w:spacing w:line="276" w:lineRule="auto" w:after="120"/>
        <w:jc w:val="left"/>
      </w:pPr>
      <w:r>
        <w:rPr>
          <w:rFonts w:ascii="Times New Roman" w:hAnsi="Times New Roman"/>
          <w:sz w:val="26"/>
        </w:rPr>
        <w:t xml:space="preserve">Sinh viên thực hiện: Nhóm phát triển MedClinic</w:t>
      </w:r>
    </w:p>
    <w:p>
      <w:pPr>
        <w:spacing w:line="276" w:lineRule="auto" w:after="120"/>
        <w:jc w:val="left"/>
      </w:pPr>
      <w:r>
        <w:rPr>
          <w:rFonts w:ascii="Times New Roman" w:hAnsi="Times New Roman"/>
          <w:sz w:val="26"/>
        </w:rPr>
        <w:t xml:space="preserve">Học kỳ: 2 - Năm học: 2025 - 2026</w:t>
      </w:r>
    </w:p>
    <w:p>
      <w:r>
        <w:br w:type="page"/>
      </w:r>
    </w:p>
    <w:p>
      <w:pPr>
        <w:pStyle w:val="Heading1"/>
        <w:spacing w:line="276" w:lineRule="auto" w:after="120"/>
        <w:jc w:val="left"/>
      </w:pPr>
      <w:r>
        <w:rPr>
          <w:rFonts w:ascii="Times New Roman" w:hAnsi="Times New Roman"/>
          <w:b/>
          <w:sz w:val="32"/>
        </w:rPr>
        <w:t xml:space="preserve">MÔ HÌNH HÓA YÊU CẦU HỆ THỐNG</w:t>
      </w:r>
    </w:p>
    <w:p>
      <w:pPr>
        <w:pStyle w:val="Heading2"/>
        <w:spacing w:line="276" w:lineRule="auto" w:after="120"/>
        <w:jc w:val="left"/>
      </w:pPr>
      <w:r>
        <w:rPr>
          <w:rFonts w:ascii="Times New Roman" w:hAnsi="Times New Roman"/>
          <w:b/>
          <w:sz w:val="28"/>
        </w:rPr>
        <w:t xml:space="preserve">1. Nhận diện tác nhân và phân rã chức năng</w:t>
      </w:r>
    </w:p>
    <w:p>
      <w:pPr>
        <w:spacing w:line="276" w:lineRule="auto" w:after="120"/>
        <w:jc w:val="both"/>
      </w:pPr>
      <w:r>
        <w:rPr>
          <w:rFonts w:ascii="Times New Roman" w:hAnsi="Times New Roman"/>
          <w:sz w:val="26"/>
        </w:rPr>
        <w:t xml:space="preserve">Hệ thống MedClinic bao gồm 5 tác nhân chính (Actors) tương tác trực tiếp với các phân hệ của phần mềm:</w:t>
      </w:r>
    </w:p>
    <w:p>
      <w:pPr>
        <w:spacing w:line="276" w:lineRule="auto" w:after="120"/>
        <w:jc w:val="center"/>
      </w:pPr>
      <w:r>
        <w:rPr>
          <w:rFonts w:ascii="Times New Roman" w:hAnsi="Times New Roman"/>
          <w:b/>
          <w:sz w:val="22"/>
        </w:rPr>
        <w:t xml:space="preserve">Bảng 1-1. Bảng ma trận liên kết giữa Tác nhân và các Use Case chức năng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Tác nhân (Actor)</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 vai trò</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Số lượng Use Case</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Các Use Case liên kết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Người dùng vãng lai chưa đăng nhập</w:t>
            </w:r>
          </w:p>
        </w:tc>
        <w:tc>
          <w:tcPr>
            <w:tcMar>
              <w:top w:w="120" w:type="dxa"/>
              <w:bottom w:w="120" w:type="dxa"/>
              <w:left w:w="160" w:type="dxa"/>
              <w:right w:w="160" w:type="dxa"/>
            </w:tcMar>
          </w:tcPr>
          <w:p>
            <w:pPr>
              <w:spacing w:line="240" w:lineRule="auto" w:after="40"/>
            </w:pPr>
            <w:r>
              <w:rPr>
                <w:rFonts w:ascii="Times New Roman" w:hAnsi="Times New Roman"/>
                <w:sz w:val="22"/>
              </w:rPr>
              <w:t xml:space="preserve">5 UC</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UC_001, UC_002, UC_004, UC_006, UC_007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Người bệnh đã có tài khoản và đặt lịch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9 UC</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 UC_003, UC_005, UC_008, UC_009, UC_010, UC_017, UC_020, UC_021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chuyên khoa phụ trách khám và kê đơn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7 UC</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 UC_003, UC_005, UC_014, UC_015, UC_016, UC_017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Nhân viên tiếp đón tại quầy, cấp STT và thu ngân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8 UC</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 UC_003, UC_005, UC_011, UC_012, UC_013, UC_019, UC_020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toàn quyền hệ thống, nhân sự, danh mục</w:t>
            </w:r>
          </w:p>
        </w:tc>
        <w:tc>
          <w:tcPr>
            <w:tcMar>
              <w:top w:w="120" w:type="dxa"/>
              <w:bottom w:w="120" w:type="dxa"/>
              <w:left w:w="160" w:type="dxa"/>
              <w:right w:w="160" w:type="dxa"/>
            </w:tcMar>
          </w:tcPr>
          <w:p>
            <w:pPr>
              <w:spacing w:line="240" w:lineRule="auto" w:after="40"/>
            </w:pPr>
            <w:r>
              <w:rPr>
                <w:rFonts w:ascii="Times New Roman" w:hAnsi="Times New Roman"/>
                <w:sz w:val="22"/>
              </w:rPr>
              <w:t xml:space="preserve">8 UC</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 UC_003, UC_005, UC_020, UC_022, UC_023, UC_024, UC_025, UC_026</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1.1. Danh mục chức năng phía Khách (Guest)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tạo tài khoản bệnh nhân mới với đầy đủ thông tin cá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vào hệ thống theo vai trò người dùng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Yêu cầu khôi phục mật khẩu thông qua địa chỉ email đã đăng ký</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các chuyên khoa y tế và thông tin dịch vụ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&amp; Lọc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bác sĩ theo chuyên khoa, kinh nghiệm, học hàm và giá khám</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1.2. Danh mục chức năng phía Bệnh nhân (Patient)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và chỉnh sửa họ tên, số điện thoại, ngày sinh, địa chỉ cư trú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Đổi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Thay đổi mật khẩu tài khoản người dùng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khung giờ trống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các slot khám khả dụng của bác sĩ theo ngày (tải động qua AJAX)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khung giờ, nhập lý do/triệu chứng và xác nhận đặt lịch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mã QR check-in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lịch hẹn kèm mã QR Base64 và mã đặt lịch duy nhất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lịch hẹn (sắp tới, đã khám, đã hủy), hủy lịch trước giờ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hồ sơ bệnh án, chẩn đoán của bác sĩ và ngày hẹn tái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&amp; Tải Đơn thuốc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toa thuốc điện tử và tải file PDF đơn thuốc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Chấm điểm số sao (1-5 sao) và nhận xét dịch vụ sau khi hoàn tất ca khám</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1.3. Danh mục chức năng phía Bác sĩ (Doctor)</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trực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phân ca làm việc (ca sáng / ca chiều) trong 14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hàng chờ khám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bệnh nhân đã check-in trong ngày theo thứ tự số STT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&amp; Bắt đầu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Gọi bệnh nhân vào phòng khám, chuyển trạng thái ca khám sang IN_PROGRESS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của các lần khám trước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Ghi chẩn đoán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Nhập triệu chứng lâm sàng quan sát được, chẩn đoán, dặn dò, hẹn ngày tái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thuốc từ kho dược, nhập số lượng, liều dùng, cách dùng (tự trừ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tất khám &amp; Xuất đơn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thành ca khám, hệ thống sinh hóa đơn tự động và cho phép in đơn thuốc PDF</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1.4. Danh mục chức năng phía Lễ tân / Tiếp nhận (Staff)</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tiếp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lịch hẹn bệnh nhân bằng mã đặt lịch, số điện thoại hoặc họ tên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mã QR hoặc bấm check-in, tự động cấp số thứ tự khám STT-XX trong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hồ sơ và đặt lịch trực tiếp tại quầy cho bệnh nhân chưa đặt trước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hóa đơn viện phí</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hóa đơn viện phí chờ thanh toán của các ca khám hoàn tất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tiền mặt tại quầy hoặc xác nhận thanh toán chuyển khoản / VNPay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và in phiếu thanh toán hóa đơn viện phí định dạng PDF</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1.5. Danh mục chức năng phía Quản trị viên (Admin)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Dashboard KPI tổng quan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số lượng bệnh nhân, bác sĩ, ca khám hôm nay và doanh thu thực thu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Biểu đồ thống kê doanh thu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biểu đồ đường/cột thống kê doanh thu và tỷ lệ ca khám theo chuyên khoa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thêm mới, cập nhật mô tả, icon và bật/tắt hoạt động chuyên khoa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Hồ sơ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cập nhật bác sĩ, phân chuyên khoa, học hàm, kinh nghiệm, giá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thuốc &amp; Dược phẩm</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thuốc, cập nhật giá bán, số lượng tồn kho, hướng dẫn sử dụng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tài khoản, tìm kiếm, kích hoạt hoặc khóa tài khoản vi phạm</w:t>
            </w:r>
          </w:p>
        </w:tc>
      </w:tr>
    </w:tbl>
    <w:p>
      <w:pPr>
        <w:spacing w:line="276" w:lineRule="auto" w:after="120"/>
        <w:jc w:val="left"/>
      </w:pPr>
    </w:p>
    <w:p>
      <w:r>
        <w:br w:type="page"/>
      </w:r>
    </w:p>
    <w:p>
      <w:pPr>
        <w:pStyle w:val="Heading2"/>
        <w:spacing w:line="276" w:lineRule="auto" w:after="120"/>
        <w:jc w:val="left"/>
      </w:pPr>
      <w:r>
        <w:rPr>
          <w:rFonts w:ascii="Times New Roman" w:hAnsi="Times New Roman"/>
          <w:b/>
          <w:sz w:val="28"/>
        </w:rPr>
        <w:t xml:space="preserve">2. Mô hình Sơ đồ Use Case tổng quan</w:t>
      </w:r>
    </w:p>
    <w:p>
      <w:pPr>
        <w:spacing w:line="276" w:lineRule="auto" w:after="120"/>
        <w:jc w:val="both"/>
      </w:pPr>
      <w:r>
        <w:rPr>
          <w:rFonts w:ascii="Times New Roman" w:hAnsi="Times New Roman"/>
          <w:sz w:val="26"/>
        </w:rPr>
        <w:t xml:space="preserve">Sơ đồ Use Case của MedClinic được thiết kế và mô hình hóa trong Enterprise Architect (EA 15) với 5 Tác nhân và 26 Use Case được tổ chức trong package 'Use Case Model'. Các liên kết giữa Actor và Use Case được kết nối bằng quan hệ Association hai chiều, cùng các quan hệ phụ thuộc nội bộ:</w:t>
      </w:r>
    </w:p>
    <w:p>
      <w:pPr>
        <w:spacing w:before="180" w:after="60"/>
        <w:jc w:val="center"/>
      </w:pPr>
      <w:r>
        <w:drawing>
          <wp:inline distT="0" distB="0" distL="0" distR="0">
            <wp:extent cx="5700000" cy="3630000"/>
            <wp:docPr id="101" name="diagram_usecas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_usecase_overview.png"/>
                    <pic:cNvPicPr/>
                  </pic:nvPicPr>
                  <pic:blipFill>
                    <a:blip xmlns:r="http://schemas.openxmlformats.org/officeDocument/2006/relationships" r:embed="rIdImg1"/>
                    <a:stretch>
                      <a:fillRect/>
                    </a:stretch>
                  </pic:blipFill>
                  <pic:spPr>
                    <a:xfrm>
                      <a:off x="0" y="0"/>
                      <a:ext cx="5700000" cy="3630000"/>
                    </a:xfrm>
                    <a:prstGeom prst="rect">
                      <a:avLst/>
                    </a:prstGeom>
                  </pic:spPr>
                </pic:pic>
              </a:graphicData>
            </a:graphic>
          </wp:inline>
        </w:drawing>
      </w:r>
    </w:p>
    <w:p>
      <w:pPr>
        <w:spacing w:line="276" w:lineRule="auto" w:after="120"/>
        <w:jc w:val="center"/>
      </w:pPr>
      <w:r>
        <w:rPr>
          <w:rFonts w:ascii="Times New Roman" w:hAnsi="Times New Roman"/>
          <w:b/>
          <w:sz w:val="22"/>
        </w:rPr>
        <w:t xml:space="preserve">Hình 2.1. Sơ đồ Use Case tổng quan hệ thống MedClinic (5 Tác nhân &amp; 26 Use Case)</w:t>
      </w:r>
    </w:p>
    <w:p>
      <w:pPr>
        <w:spacing w:line="276" w:lineRule="auto" w:after="120"/>
        <w:jc w:val="center"/>
      </w:pPr>
    </w:p>
    <w:p>
      <w:pPr>
        <w:spacing w:line="276" w:lineRule="auto" w:after="120"/>
        <w:jc w:val="left"/>
      </w:pPr>
    </w:p>
    <w:p>
      <w:pPr>
        <w:spacing w:line="276" w:lineRule="auto" w:after="120"/>
        <w:jc w:val="left"/>
      </w:pPr>
      <w:r>
        <w:rPr>
          <w:rFonts w:ascii="Times New Roman" w:hAnsi="Times New Roman"/>
          <w:b/>
          <w:sz w:val="24"/>
        </w:rPr>
        <w:t xml:space="preserve">• Quan hệ &lt;&lt;include&gt;&gt; (Bắt buộc):</w:t>
      </w:r>
    </w:p>
    <w:p>
      <w:pPr>
        <w:spacing w:line="276" w:lineRule="auto" w:after="120"/>
        <w:jc w:val="both"/>
      </w:pPr>
      <w:r>
        <w:rPr>
          <w:rFonts w:ascii="Times New Roman" w:hAnsi="Times New Roman"/>
          <w:sz w:val="24"/>
        </w:rPr>
        <w:t xml:space="preserve">- 'Đặt lịch khám theo khung giờ' &lt;&lt;include&gt;&gt; 'Xem khung giờ trống' (Bệnh nhân phải tải slot trước khi chọn).
- 'Bác sĩ kê đơn thuốc' &lt;&lt;include&gt;&gt; 'Tra cứu kho thuốc' (Phải chọn thuốc từ danh mục tồn kho).
- 'Hoàn tất khám bệnh' &lt;&lt;include&gt;&gt; 'Tự động sinh Hóa đơn viện phí' (Hệ thống tự động tính tiền và lập hóa đơn UNPAID).</w:t>
      </w:r>
    </w:p>
    <w:p>
      <w:pPr>
        <w:spacing w:line="276" w:lineRule="auto" w:after="120"/>
        <w:jc w:val="left"/>
      </w:pPr>
      <w:r>
        <w:rPr>
          <w:rFonts w:ascii="Times New Roman" w:hAnsi="Times New Roman"/>
          <w:b/>
          <w:sz w:val="24"/>
        </w:rPr>
        <w:t xml:space="preserve">• Quan hệ &lt;&lt;extend&gt;&gt; (Mở rộng tùy chọn):</w:t>
      </w:r>
    </w:p>
    <w:p>
      <w:pPr>
        <w:spacing w:line="276" w:lineRule="auto" w:after="120"/>
        <w:jc w:val="both"/>
      </w:pPr>
      <w:r>
        <w:rPr>
          <w:rFonts w:ascii="Times New Roman" w:hAnsi="Times New Roman"/>
          <w:sz w:val="24"/>
        </w:rPr>
        <w:t xml:space="preserve">- 'Đánh giá bác sĩ' &lt;&lt;extend&gt;&gt; 'Xem chi tiết lịch hẹn đã hoàn tất'.
- 'Xuất đơn thuốc PDF' &lt;&lt;extend&gt;&gt; 'Xem bệnh án'.
- 'Thanh toán VNPay' &lt;&lt;extend&gt;&gt; 'Thu viện phí tại quầy'.</w:t>
      </w:r>
    </w:p>
    <w:p>
      <w:pPr>
        <w:spacing w:line="276" w:lineRule="auto" w:after="120"/>
        <w:jc w:val="left"/>
      </w:pPr>
    </w:p>
    <w:p>
      <w:pPr>
        <w:pStyle w:val="Heading2"/>
        <w:spacing w:line="276" w:lineRule="auto" w:after="120"/>
        <w:jc w:val="left"/>
      </w:pPr>
      <w:r>
        <w:rPr>
          <w:rFonts w:ascii="Times New Roman" w:hAnsi="Times New Roman"/>
          <w:b/>
          <w:sz w:val="28"/>
        </w:rPr>
        <w:t xml:space="preserve">3. Mô hình Sơ đồ Tuần tự (Sequence Diagrams) phân tích theo BCE</w:t>
      </w:r>
    </w:p>
    <w:p>
      <w:pPr>
        <w:spacing w:line="276" w:lineRule="auto" w:after="120"/>
        <w:jc w:val="both"/>
      </w:pPr>
      <w:r>
        <w:rPr>
          <w:rFonts w:ascii="Times New Roman" w:hAnsi="Times New Roman"/>
          <w:sz w:val="26"/>
        </w:rPr>
        <w:t xml:space="preserve">Mô hình BCE (Boundary - Control - Entity) phân tách rõ ràng trách nhiệm giữa tầng Giao diện (Boundary: Form/Web View), tầng Điều khiển nghiệp vụ (Control: Controller/Service) và tầng Thực thể dữ liệu (Entity: Repository/Database Model). Dưới đây là 6 kịch bản tuần tự cốt lõi:</w:t>
      </w:r>
    </w:p>
    <w:p>
      <w:pPr>
        <w:pStyle w:val="Heading3"/>
        <w:spacing w:line="276" w:lineRule="auto" w:after="120"/>
        <w:jc w:val="left"/>
      </w:pPr>
      <w:r>
        <w:rPr>
          <w:rFonts w:ascii="Times New Roman" w:hAnsi="Times New Roman"/>
          <w:b/>
          <w:sz w:val="26"/>
        </w:rPr>
        <w:t xml:space="preserve">3.1. Sơ đồ Tuần tự: Đăng ký tài khoản (Sign up)</w:t>
      </w:r>
    </w:p>
    <w:p>
      <w:pPr>
        <w:spacing w:line="276" w:lineRule="auto" w:after="120"/>
        <w:jc w:val="both"/>
      </w:pPr>
      <w:r>
        <w:rPr>
          <w:rFonts w:ascii="Times New Roman" w:hAnsi="Times New Roman"/>
          <w:sz w:val="24"/>
        </w:rPr>
        <w:t xml:space="preserve">• Actor: Khách (Guest)
• Boundary: Form Đăng ký (/register)
• Control: AuthController, UserServiceImpl, BCryptPasswordEncoder
• Entity: UserRepository, RoleRepository -&gt; CSDL users, roles
Các bước thực thi tuần tự:
1. Khách điền thông tin (họ tên, username, email, mật khẩu) trên Boundary Form
2. Boundary gửi HTTP POST /register tới AuthController
3. AuthController gọi UserServiceImpl.registerPatient(dto)
4. UserServiceImpl gọi UserRepository.existsByUsername() và existsByEmail() để kiểm tra trùng lặp
5. UserServiceImpl gọi BCryptPasswordEncoder.encode() để mã hóa mật khẩu
6. UserServiceImpl lấy Role 'ROLE_PATIENT' từ RoleRepository và gán cho User mới
7. UserServiceImpl gọi UserRepository.save(newUser)
8. AuthController trả về thông báo đăng ký thành công và chuyển hướng đến trang /login.</w:t>
      </w:r>
    </w:p>
    <w:p>
      <w:pPr>
        <w:spacing w:line="276" w:lineRule="auto" w:after="120"/>
        <w:jc w:val="left"/>
      </w:pPr>
    </w:p>
    <w:p>
      <w:pPr>
        <w:pStyle w:val="Heading3"/>
        <w:spacing w:line="276" w:lineRule="auto" w:after="120"/>
        <w:jc w:val="left"/>
      </w:pPr>
      <w:r>
        <w:rPr>
          <w:rFonts w:ascii="Times New Roman" w:hAnsi="Times New Roman"/>
          <w:b/>
          <w:sz w:val="26"/>
        </w:rPr>
        <w:t xml:space="preserve">3.2. Sơ đồ Tuần tự: Đăng nhập hệ thống (Sign in)</w:t>
      </w:r>
    </w:p>
    <w:p>
      <w:pPr>
        <w:spacing w:line="276" w:lineRule="auto" w:after="120"/>
        <w:jc w:val="both"/>
      </w:pPr>
      <w:r>
        <w:rPr>
          <w:rFonts w:ascii="Times New Roman" w:hAnsi="Times New Roman"/>
          <w:sz w:val="24"/>
        </w:rPr>
        <w:t xml:space="preserve">• Actor: Người dùng (Patient, Doctor, Staff, Admin)
• Boundary: Form Đăng nhập (/login)
• Control: SecurityFilterChain, DaoAuthenticationProvider, CustomUserDetailsService
• Entity: UserRepository -&gt; CSDL users
Các bước thực thi tuần tự:
1. Người dùng nhập username và password tại Boundary Form
2. Gửi POST /login tới SecurityFilterChain
3. DaoAuthenticationProvider kích hoạt CustomUserDetailsService.loadUserByUsername()
4. CustomUserDetailsService truy vấn UserRepository tìm User theo username/email
5. DaoAuthenticationProvider so sánh mật khẩu nhập vào với mật khẩu băm BCrypt trong CSDL
6. Nếu khớp, sinh Authentication Token và lưu vào SecurityContext
7. CustomAuthenticationSuccessHandler kiểm tra Role và chuyển hướng: ROLE_PATIENT -&gt; /patient/appointments, ROLE_DOCTOR -&gt; /doctor/desk, ROLE_STAFF -&gt; /staff/reception, ROLE_ADMIN -&gt; /admin/dashboard.</w:t>
      </w:r>
    </w:p>
    <w:p>
      <w:pPr>
        <w:spacing w:line="276" w:lineRule="auto" w:after="120"/>
        <w:jc w:val="left"/>
      </w:pPr>
    </w:p>
    <w:p>
      <w:pPr>
        <w:pStyle w:val="Heading3"/>
        <w:spacing w:line="276" w:lineRule="auto" w:after="120"/>
        <w:jc w:val="left"/>
      </w:pPr>
      <w:r>
        <w:rPr>
          <w:rFonts w:ascii="Times New Roman" w:hAnsi="Times New Roman"/>
          <w:b/>
          <w:sz w:val="26"/>
        </w:rPr>
        <w:t xml:space="preserve">3.3. Sơ đồ Tuần tự: Đặt lịch khám &amp; Khóa đồng thời Optimistic Locking</w:t>
      </w:r>
    </w:p>
    <w:p>
      <w:pPr>
        <w:spacing w:line="276" w:lineRule="auto" w:after="120"/>
        <w:jc w:val="both"/>
      </w:pPr>
      <w:r>
        <w:rPr>
          <w:rFonts w:ascii="Times New Roman" w:hAnsi="Times New Roman"/>
          <w:sz w:val="24"/>
        </w:rPr>
        <w:t xml:space="preserve">• Actor: Bệnh nhân (Patient)
• Boundary: Giao diện Đặt khám (/patient/book-appointment)
• Control: PatientAppointmentController, AppointmentServiceImpl, EmailService
• Entity: TimeSlotRepository (@Version), AppointmentRepository -&gt; CSDL time_slots, appointments
Các bước thực thi tuần tự:
1. Bệnh nhân chọn Bác sĩ, Ngày khám -&gt; AJAX gọi lấy danh sách TimeSlot AVAILABLE
2. Bệnh nhân bấm chọn Slot và gửi form Đặt lịch
3. AppointmentServiceImpl mở transaction (@Transactional):
   a. Đọc bản ghi TimeSlot với version hiện tại (VD: version = 0)
   b. Kiểm tra slot.getStatus() == AVAILABLE
   c. Đổi slot.setStatus(BOOKED) -&gt; Khi Flush CSDL kiểm tra WHERE id=? AND version=0
   d. Tự động tăng version lên 1
   e. Tạo Appointment mới, sinh mã đặt lịch MED-YYMMDD-XXXX, tạo mã QR Base64
   f. AppointmentRepository.save(appointment)
4. Transaction Commit thành công -&gt; Gọi EmailService.sendBookingConfirmationAsync() gửi email ngầm
5. Trả về trang chi tiết lịch hẹn kèm mã QR
Trường hợp xung đột: Nếu 2 bệnh nhân bấm đặt cùng 1 slot tại cùng thời điểm, người thứ hai commit sẽ thấy version đã thay đổi -&gt; JPA ném OptimisticLockingFailureException -&gt; Controller bắt lỗi và thông báo người dùng chọn slot khác.</w:t>
      </w:r>
    </w:p>
    <w:p>
      <w:pPr>
        <w:spacing w:line="276" w:lineRule="auto" w:after="120"/>
        <w:jc w:val="left"/>
      </w:pPr>
    </w:p>
    <w:p>
      <w:pPr>
        <w:pStyle w:val="Heading3"/>
        <w:spacing w:line="276" w:lineRule="auto" w:after="120"/>
        <w:jc w:val="left"/>
      </w:pPr>
      <w:r>
        <w:rPr>
          <w:rFonts w:ascii="Times New Roman" w:hAnsi="Times New Roman"/>
          <w:b/>
          <w:sz w:val="26"/>
        </w:rPr>
        <w:t xml:space="preserve">3.4. Sơ đồ Tuần tự: Quét QR Check-in &amp; Cấp STT tiếp nhận</w:t>
      </w:r>
    </w:p>
    <w:p>
      <w:pPr>
        <w:spacing w:line="276" w:lineRule="auto" w:after="120"/>
        <w:jc w:val="both"/>
      </w:pPr>
      <w:r>
        <w:rPr>
          <w:rFonts w:ascii="Times New Roman" w:hAnsi="Times New Roman"/>
          <w:sz w:val="24"/>
        </w:rPr>
        <w:t xml:space="preserve">• Actor: Lễ tân (Staff)
• Boundary: Quầy tiếp nhận (/staff/reception)
• Control: StaffReceptionController, AppointmentServiceImpl
• Entity: AppointmentRepository -&gt; CSDL appointments
Các bước thực thi tuần tự:
1. Lễ tân quét mã QR hoặc nhập mã MED-xxx tại Boundary
2. Gửi yêu cầu POST /staff/reception/check-in
3. StaffReceptionController gọi AppointmentServiceImpl.checkInAppointment(bookingCode)
4. Service tính toán số thứ tự trong ngày: countByDoctorAndDate() + 1
5. Gán queueNumber = 'STT-' + formattedNumber (VD: STT-05)
6. Cập nhật status = CHECKED_IN
7. AppointmentRepository.save(appointment)
8. Bệnh nhân lập tức xuất hiện trên Bàn khám bác sĩ theo thời gian thực.</w:t>
      </w:r>
    </w:p>
    <w:p>
      <w:pPr>
        <w:spacing w:line="276" w:lineRule="auto" w:after="120"/>
        <w:jc w:val="left"/>
      </w:pPr>
    </w:p>
    <w:p>
      <w:pPr>
        <w:pStyle w:val="Heading3"/>
        <w:spacing w:line="276" w:lineRule="auto" w:after="120"/>
        <w:jc w:val="left"/>
      </w:pPr>
      <w:r>
        <w:rPr>
          <w:rFonts w:ascii="Times New Roman" w:hAnsi="Times New Roman"/>
          <w:b/>
          <w:sz w:val="26"/>
        </w:rPr>
        <w:t xml:space="preserve">3.5. Sơ đồ Tuần tự: Bàn khám bệnh, Kê đơn thuốc &amp; Trừ tồn kho dược</w:t>
      </w:r>
    </w:p>
    <w:p>
      <w:pPr>
        <w:spacing w:line="276" w:lineRule="auto" w:after="120"/>
        <w:jc w:val="both"/>
      </w:pPr>
      <w:r>
        <w:rPr>
          <w:rFonts w:ascii="Times New Roman" w:hAnsi="Times New Roman"/>
          <w:sz w:val="24"/>
        </w:rPr>
        <w:t xml:space="preserve">• Actor: Bác sĩ (Doctor)
• Boundary: Bàn khám (/doctor/examine/{id})
• Control: DoctorDeskController, MedicalRecordServiceImpl, InvoiceServiceImpl
• Entity: MedicalRecordRepository, MedicineRepository, PrescriptionRepository, InvoiceRepository
Các bước thực thi tuần tự:
1. Bác sĩ bấm Khám bệnh -&gt; Ca khám đổi status = IN_PROGRESS
2. Bác sĩ nhập triệu chứng, chẩn đoán, dặn dò và chọn thuốc kê đơn
3. Bác sĩ bấm Hoàn tất ca khám
4. MedicalRecordServiceImpl mở transaction:
   a. Lưu bản ghi MedicalRecord liên kết với Appointment
   b. Tạo Prescription và danh sách PrescriptionItem
   c. Với mỗi thuốc, gọi MedicineRepository.decreaseStock(medicineId, qty)
   d. Đổi appointment.status = COMPLETED
5. Kích hoạt InvoiceServiceImpl.generateInvoice(appointmentId):
   a. Tính tổng tiền: consultationFee + tổng tiền các dòng thuốc
   b. Sinh mã INV-YYMMDD-XXXX và lưu Invoice với status = UNPAID
6. Redirect sang trang xem bệnh án kèm nút In Đơn Thuốc PDF.</w:t>
      </w:r>
    </w:p>
    <w:p>
      <w:pPr>
        <w:spacing w:line="276" w:lineRule="auto" w:after="120"/>
        <w:jc w:val="left"/>
      </w:pPr>
    </w:p>
    <w:p>
      <w:pPr>
        <w:pStyle w:val="Heading3"/>
        <w:spacing w:line="276" w:lineRule="auto" w:after="120"/>
        <w:jc w:val="left"/>
      </w:pPr>
      <w:r>
        <w:rPr>
          <w:rFonts w:ascii="Times New Roman" w:hAnsi="Times New Roman"/>
          <w:b/>
          <w:sz w:val="26"/>
        </w:rPr>
        <w:t xml:space="preserve">3.6. Sơ đồ Tuần tự: Thu viện phí &amp; Xuất hóa đơn tài chính PDF</w:t>
      </w:r>
    </w:p>
    <w:p>
      <w:pPr>
        <w:spacing w:line="276" w:lineRule="auto" w:after="120"/>
        <w:jc w:val="both"/>
      </w:pPr>
      <w:r>
        <w:rPr>
          <w:rFonts w:ascii="Times New Roman" w:hAnsi="Times New Roman"/>
          <w:sz w:val="24"/>
        </w:rPr>
        <w:t xml:space="preserve">• Actor: Lễ tân (Staff)
• Boundary: Quầy thu ngân (/staff/billing)
• Control: StaffReceptionController, InvoiceServiceImpl, PdfExportService
• Entity: InvoiceRepository -&gt; CSDL invoices
Các bước thực thi tuần tự:
1. Lễ tân tra cứu hóa đơn UNPAID của bệnh nhân
2. Chọn phương thức thanh toán (CASH hoặc VNPAY) và bấm Xác nhận thanh toán
3. InvoiceServiceImpl cập nhật invoice.status = PAID và lưu thời điểm paidAt
4. Lễ tân bấm In Hóa Đơn PDF
5. PdfExportService sử dụng thư viện OpenPDF biên dịch toàn bộ bảng kê chi phí thành file PDF chuẩn y tế
6. Trình duyệt xuất luồng byte PDF và mở hộp thoại in phiếu thu viện phí.</w:t>
      </w:r>
    </w:p>
    <w:p>
      <w:pPr>
        <w:spacing w:line="276" w:lineRule="auto" w:after="120"/>
        <w:jc w:val="left"/>
      </w:pP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color w:val="1F4E79"/>
      <w:sz w:val="32"/>
    </w:rPr>
  </w:style>
  <w:style w:type="paragraph" w:styleId="Heading2">
    <w:name w:val="heading 2"/>
    <w:basedOn w:val="Normal"/>
    <w:rPr>
      <w:rFonts w:ascii="Times New Roman" w:hAnsi="Times New Roman"/>
      <w:b/>
      <w:color w:val="2F5597"/>
      <w:sz w:val="28"/>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Img1" Type="http://schemas.openxmlformats.org/officeDocument/2006/relationships/image" Target="media/image1.png"/>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