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CASCADE CYCLES GROUP</w:t>
      </w:r>
    </w:p>
    <w:p>
      <w:pPr>
        <w:pStyle w:val="Heading2"/>
      </w:pPr>
      <w:r>
        <w:t xml:space="preserve">REV-2026-014 — Monthly Revenue Reporting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Field</w:t>
            </w:r>
          </w:p>
        </w:tc>
        <w:tc>
          <w:tcPr>
            <w:tcW w:w="3000" w:type="dxa"/>
          </w:tcPr>
          <w:p>
            <w:r>
              <w:t xml:space="preserve">Value</w:t>
            </w:r>
          </w:p>
        </w:tc>
      </w:tr>
      <w:tr>
        <w:tc>
          <w:tcPr>
            <w:tcW w:w="3000" w:type="dxa"/>
          </w:tcPr>
          <w:p>
            <w:r>
              <w:t xml:space="preserve">Document ID</w:t>
            </w:r>
          </w:p>
        </w:tc>
        <w:tc>
          <w:tcPr>
            <w:tcW w:w="3000" w:type="dxa"/>
          </w:tcPr>
          <w:p>
            <w:r>
              <w:t xml:space="preserve">REV-2026-014</w:t>
            </w:r>
          </w:p>
        </w:tc>
      </w:tr>
      <w:tr>
        <w:tc>
          <w:tcPr>
            <w:tcW w:w="3000" w:type="dxa"/>
          </w:tcPr>
          <w:p>
            <w:r>
              <w:t xml:space="preserve">Version</w:t>
            </w:r>
          </w:p>
        </w:tc>
        <w:tc>
          <w:tcPr>
            <w:tcW w:w="3000" w:type="dxa"/>
          </w:tcPr>
          <w:p>
            <w:r>
              <w:t xml:space="preserve">1.0</w:t>
            </w:r>
          </w:p>
        </w:tc>
      </w:tr>
      <w:tr>
        <w:tc>
          <w:tcPr>
            <w:tcW w:w="3000" w:type="dxa"/>
          </w:tcPr>
          <w:p>
            <w:r>
              <w:t xml:space="preserve">Status</w:t>
            </w:r>
          </w:p>
        </w:tc>
        <w:tc>
          <w:tcPr>
            <w:tcW w:w="3000" w:type="dxa"/>
          </w:tcPr>
          <w:p>
            <w:r>
              <w:t xml:space="preserve">Approved for build</w:t>
            </w:r>
          </w:p>
        </w:tc>
      </w:tr>
      <w:tr>
        <w:tc>
          <w:tcPr>
            <w:tcW w:w="3000" w:type="dxa"/>
          </w:tcPr>
          <w:p>
            <w:r>
              <w:t xml:space="preserve">Owner</w:t>
            </w:r>
          </w:p>
        </w:tc>
        <w:tc>
          <w:tcPr>
            <w:tcW w:w="3000" w:type="dxa"/>
          </w:tcPr>
          <w:p>
            <w:r>
              <w:t xml:space="preserve">Revenue Operations</w:t>
            </w:r>
          </w:p>
        </w:tc>
      </w:tr>
      <w:tr>
        <w:tc>
          <w:tcPr>
            <w:tcW w:w="3000" w:type="dxa"/>
          </w:tcPr>
          <w:p>
            <w:r>
              <w:t xml:space="preserve">Date</w:t>
            </w:r>
          </w:p>
        </w:tc>
        <w:tc>
          <w:tcPr>
            <w:tcW w:w="3000" w:type="dxa"/>
          </w:tcPr>
          <w:p>
            <w:r>
              <w:t xml:space="preserve">11 August 2026</w:t>
            </w:r>
          </w:p>
        </w:tc>
      </w:tr>
    </w:tbl>
    <w:p>
      <w:pPr>
        <w:pStyle w:val="Heading2"/>
      </w:pPr>
      <w:r>
        <w:t xml:space="preserve">1. Background</w:t>
      </w:r>
    </w:p>
    <w:p>
      <w:r>
        <w:t xml:space="preserve">Monthly revenue is assembled by hand from a Salesforce export. It takes two days,</w:t>
      </w:r>
    </w:p>
    <w:p>
      <w:r>
        <w:t xml:space="preserve">it is not reproducible, and it has twice disagreed with the figure Finance</w:t>
      </w:r>
    </w:p>
    <w:p>
      <w:r>
        <w:t xml:space="preserve">presented at the monthly close. The disagreement in Appendix A has been open</w:t>
      </w:r>
    </w:p>
    <w:p>
      <w:r>
        <w:t xml:space="preserve">since June and nobody can currently say which number is right.</w:t>
      </w:r>
    </w:p>
    <w:p>
      <w:pPr>
        <w:pStyle w:val="Heading2"/>
      </w:pPr>
      <w:r>
        <w:t xml:space="preserve">2. Business objective</w:t>
      </w:r>
    </w:p>
    <w:p>
      <w:r>
        <w:t xml:space="preserve">One automated, repeatable pipeline that lands Salesforce deal data in our data</w:t>
      </w:r>
    </w:p>
    <w:p>
      <w:r>
        <w:t xml:space="preserve">platform, and one governed reporting model on top of it that gives monthly</w:t>
      </w:r>
    </w:p>
    <w:p>
      <w:r>
        <w:t xml:space="preserve">revenue by product family — with the definition of "closed-won revenue" written</w:t>
      </w:r>
    </w:p>
    <w:p>
      <w:r>
        <w:t xml:space="preserve">down, agreed, and traceable back to whoever agreed it.</w:t>
      </w:r>
    </w:p>
    <w:p>
      <w:pPr>
        <w:pStyle w:val="Heading2"/>
      </w:pPr>
      <w:r>
        <w:t xml:space="preserve">3. Business questions this must answer</w:t>
      </w:r>
    </w:p>
    <w:p>
      <w:pPr>
        <w:pStyle w:val="ListParagraph"/>
      </w:pPr>
      <w:r>
        <w:t xml:space="preserve">What was closed-won revenue by month, for the last 24 months?</w:t>
      </w:r>
    </w:p>
    <w:p>
      <w:pPr>
        <w:pStyle w:val="ListParagraph"/>
      </w:pPr>
      <w:r>
        <w:t xml:space="preserve">How does each product family contribute to that, month by month?</w:t>
      </w:r>
    </w:p>
    <w:p>
      <w:pPr>
        <w:pStyle w:val="ListParagraph"/>
      </w:pPr>
      <w:r>
        <w:t xml:space="preserve">How much revenue cannot be attributed to a product family at all?</w:t>
      </w:r>
    </w:p>
    <w:p>
      <w:pPr>
        <w:pStyle w:val="ListParagraph"/>
      </w:pPr>
      <w:r>
        <w:t xml:space="preserve">Which definition of "closed won" produced the number being read?</w:t>
      </w:r>
    </w:p>
    <w:p>
      <w:pPr>
        <w:pStyle w:val="Heading2"/>
      </w:pPr>
      <w:r>
        <w:t xml:space="preserve">4. Scope</w:t>
      </w:r>
    </w:p>
    <w:p>
      <w:r>
        <w:t xml:space="preserve">IN SCOPE</w:t>
      </w:r>
    </w:p>
    <w:p>
      <w:pPr>
        <w:pStyle w:val="ListParagraph"/>
      </w:pPr>
      <w:r>
        <w:t xml:space="preserve">Loading Salesforce opportunities, opportunity line items, and products into our</w:t>
      </w:r>
    </w:p>
    <w:p>
      <w:r>
        <w:t xml:space="preserve">data platform.</w:t>
      </w:r>
    </w:p>
    <w:p>
      <w:pPr>
        <w:pStyle w:val="ListParagraph"/>
      </w:pPr>
      <w:r>
        <w:t xml:space="preserve">A transformation layer that produces the monthly revenue reporting model.</w:t>
      </w:r>
    </w:p>
    <w:p>
      <w:pPr>
        <w:pStyle w:val="ListParagraph"/>
      </w:pPr>
      <w:r>
        <w:t xml:space="preserve">Tests and documentation for both.</w:t>
      </w:r>
    </w:p>
    <w:p>
      <w:r>
        <w:t xml:space="preserve">OUT OF SCOPE</w:t>
      </w:r>
    </w:p>
    <w:p>
      <w:pPr>
        <w:pStyle w:val="ListParagraph"/>
      </w:pPr>
      <w:r>
        <w:t xml:space="preserve">Any other Salesforce object — accounts, contacts, leads, campaigns, activities.</w:t>
      </w:r>
    </w:p>
    <w:p>
      <w:r>
        <w:t xml:space="preserve">We want these later; not in this piece of work.</w:t>
      </w:r>
    </w:p>
    <w:p>
      <w:pPr>
        <w:pStyle w:val="ListParagraph"/>
      </w:pPr>
      <w:r>
        <w:t xml:space="preserve">Dashboards, report front-ends and BI tool configuration.</w:t>
      </w:r>
    </w:p>
    <w:p>
      <w:pPr>
        <w:pStyle w:val="ListParagraph"/>
      </w:pPr>
      <w:r>
        <w:t xml:space="preserve">Writing anything back into Salesforce.</w:t>
      </w:r>
    </w:p>
    <w:p>
      <w:pPr>
        <w:pStyle w:val="ListParagraph"/>
      </w:pPr>
      <w:r>
        <w:t xml:space="preserve">Forecast or open-pipeline reporting.</w:t>
      </w:r>
    </w:p>
    <w:p>
      <w:pPr>
        <w:pStyle w:val="Heading2"/>
      </w:pPr>
      <w:r>
        <w:t xml:space="preserve">5. Requirements</w:t>
      </w:r>
    </w:p>
    <w:p>
      <w:pPr>
        <w:pStyle w:val="Heading3"/>
      </w:pPr>
      <w:r>
        <w:t xml:space="preserve">R1 — Getting the data in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3000" w:type="dxa"/>
          </w:tcPr>
          <w:p>
            <w:r>
              <w:t xml:space="preserve">Requirement</w:t>
            </w:r>
          </w:p>
        </w:tc>
      </w:tr>
      <w:tr>
        <w:tc>
          <w:tcPr>
            <w:tcW w:w="3000" w:type="dxa"/>
          </w:tcPr>
          <w:p>
            <w:r>
              <w:t xml:space="preserve">R1.1</w:t>
            </w:r>
          </w:p>
        </w:tc>
        <w:tc>
          <w:tcPr>
            <w:tcW w:w="3000" w:type="dxa"/>
          </w:tcPr>
          <w:p>
            <w:r>
              <w:t xml:space="preserve">Deal data must load from Salesforce into our data platform automatically. No manual export step.</w:t>
            </w:r>
          </w:p>
        </w:tc>
      </w:tr>
      <w:tr>
        <w:tc>
          <w:tcPr>
            <w:tcW w:w="3000" w:type="dxa"/>
          </w:tcPr>
          <w:p>
            <w:r>
              <w:t xml:space="preserve">R1.2</w:t>
            </w:r>
          </w:p>
        </w:tc>
        <w:tc>
          <w:tcPr>
            <w:tcW w:w="3000" w:type="dxa"/>
          </w:tcPr>
          <w:p>
            <w:r>
              <w:t xml:space="preserve">Opportunities, opportunity line items and products must all be available.</w:t>
            </w:r>
          </w:p>
        </w:tc>
      </w:tr>
      <w:tr>
        <w:tc>
          <w:tcPr>
            <w:tcW w:w="3000" w:type="dxa"/>
          </w:tcPr>
          <w:p>
            <w:r>
              <w:t xml:space="preserve">R1.3</w:t>
            </w:r>
          </w:p>
        </w:tc>
        <w:tc>
          <w:tcPr>
            <w:tcW w:w="3000" w:type="dxa"/>
          </w:tcPr>
          <w:p>
            <w:r>
              <w:t xml:space="preserve">The load must be repeatable. Running it twice must not duplicate or double-count rows.</w:t>
            </w:r>
          </w:p>
        </w:tc>
      </w:tr>
      <w:tr>
        <w:tc>
          <w:tcPr>
            <w:tcW w:w="3000" w:type="dxa"/>
          </w:tcPr>
          <w:p>
            <w:r>
              <w:t xml:space="preserve">R1.4</w:t>
            </w:r>
          </w:p>
        </w:tc>
        <w:tc>
          <w:tcPr>
            <w:tcW w:w="3000" w:type="dxa"/>
          </w:tcPr>
          <w:p>
            <w:r>
              <w:t xml:space="preserve">The landed data must stay faithful to the source. No filtering, renaming or business logic at this stage.</w:t>
            </w:r>
          </w:p>
        </w:tc>
      </w:tr>
      <w:tr>
        <w:tc>
          <w:tcPr>
            <w:tcW w:w="3000" w:type="dxa"/>
          </w:tcPr>
          <w:p>
            <w:r>
              <w:t xml:space="preserve">R1.5</w:t>
            </w:r>
          </w:p>
        </w:tc>
        <w:tc>
          <w:tcPr>
            <w:tcW w:w="3000" w:type="dxa"/>
          </w:tcPr>
          <w:p>
            <w:r>
              <w:t xml:space="preserve">It must be possible to tell which load a given row arrived in, and when that load ran.</w:t>
            </w:r>
          </w:p>
        </w:tc>
      </w:tr>
      <w:tr>
        <w:tc>
          <w:tcPr>
            <w:tcW w:w="3000" w:type="dxa"/>
          </w:tcPr>
          <w:p>
            <w:r>
              <w:t xml:space="preserve">R1.6</w:t>
            </w:r>
          </w:p>
        </w:tc>
        <w:tc>
          <w:tcPr>
            <w:tcW w:w="3000" w:type="dxa"/>
          </w:tcPr>
          <w:p>
            <w:r>
              <w:t xml:space="preserve">No Salesforce credential may be stored in the repository.</w:t>
            </w:r>
          </w:p>
        </w:tc>
      </w:tr>
    </w:tbl>
    <w:p>
      <w:pPr>
        <w:pStyle w:val="Heading3"/>
      </w:pPr>
      <w:r>
        <w:t xml:space="preserve">R2 — Turning it into a reporting model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3000" w:type="dxa"/>
          </w:tcPr>
          <w:p>
            <w:r>
              <w:t xml:space="preserve">Requirement</w:t>
            </w:r>
          </w:p>
        </w:tc>
      </w:tr>
      <w:tr>
        <w:tc>
          <w:tcPr>
            <w:tcW w:w="3000" w:type="dxa"/>
          </w:tcPr>
          <w:p>
            <w:r>
              <w:t xml:space="preserve">R2.1</w:t>
            </w:r>
          </w:p>
        </w:tc>
        <w:tc>
          <w:tcPr>
            <w:tcW w:w="3000" w:type="dxa"/>
          </w:tcPr>
          <w:p>
            <w:r>
              <w:t xml:space="preserve">A reporting model must give closed-won revenue by calendar month and by product family.</w:t>
            </w:r>
          </w:p>
        </w:tc>
      </w:tr>
      <w:tr>
        <w:tc>
          <w:tcPr>
            <w:tcW w:w="3000" w:type="dxa"/>
          </w:tcPr>
          <w:p>
            <w:r>
              <w:t xml:space="preserve">R2.2</w:t>
            </w:r>
          </w:p>
        </w:tc>
        <w:tc>
          <w:tcPr>
            <w:tcW w:w="3000" w:type="dxa"/>
          </w:tcPr>
          <w:p>
            <w:r>
              <w:t xml:space="preserve">The month must be derived from the deal's close date.</w:t>
            </w:r>
          </w:p>
        </w:tc>
      </w:tr>
      <w:tr>
        <w:tc>
          <w:tcPr>
            <w:tcW w:w="3000" w:type="dxa"/>
          </w:tcPr>
          <w:p>
            <w:r>
              <w:t xml:space="preserve">R2.3</w:t>
            </w:r>
          </w:p>
        </w:tc>
        <w:tc>
          <w:tcPr>
            <w:tcW w:w="3000" w:type="dxa"/>
          </w:tcPr>
          <w:p>
            <w:r>
              <w:t xml:space="preserve">Product family must come from the product record, not from free text typed on the deal.</w:t>
            </w:r>
          </w:p>
        </w:tc>
      </w:tr>
      <w:tr>
        <w:tc>
          <w:tcPr>
            <w:tcW w:w="3000" w:type="dxa"/>
          </w:tcPr>
          <w:p>
            <w:r>
              <w:t xml:space="preserve">R2.4</w:t>
            </w:r>
          </w:p>
        </w:tc>
        <w:tc>
          <w:tcPr>
            <w:tcW w:w="3000" w:type="dxa"/>
          </w:tcPr>
          <w:p>
            <w:r>
              <w:t xml:space="preserve">The model must carry both a revenue amount and a count of deals.</w:t>
            </w:r>
          </w:p>
        </w:tc>
      </w:tr>
      <w:tr>
        <w:tc>
          <w:tcPr>
            <w:tcW w:w="3000" w:type="dxa"/>
          </w:tcPr>
          <w:p>
            <w:r>
              <w:t xml:space="preserve">R2.5</w:t>
            </w:r>
          </w:p>
        </w:tc>
        <w:tc>
          <w:tcPr>
            <w:tcW w:w="3000" w:type="dxa"/>
          </w:tcPr>
          <w:p>
            <w:r>
              <w:t xml:space="preserve">The model must state, in writing, which definition of "closed won" it uses and which revenue figure it sums.</w:t>
            </w:r>
          </w:p>
        </w:tc>
      </w:tr>
      <w:tr>
        <w:tc>
          <w:tcPr>
            <w:tcW w:w="3000" w:type="dxa"/>
          </w:tcPr>
          <w:p>
            <w:r>
              <w:t xml:space="preserve">R2.6</w:t>
            </w:r>
          </w:p>
        </w:tc>
        <w:tc>
          <w:tcPr>
            <w:tcW w:w="3000" w:type="dxa"/>
          </w:tcPr>
          <w:p>
            <w:r>
              <w:t xml:space="preserve">Revenue that cannot be attributed to a product family must be visible as its own figure, not silently dropped.</w:t>
            </w:r>
          </w:p>
        </w:tc>
      </w:tr>
      <w:tr>
        <w:tc>
          <w:tcPr>
            <w:tcW w:w="3000" w:type="dxa"/>
          </w:tcPr>
          <w:p>
            <w:r>
              <w:t xml:space="preserve">R2.7</w:t>
            </w:r>
          </w:p>
        </w:tc>
        <w:tc>
          <w:tcPr>
            <w:tcW w:w="3000" w:type="dxa"/>
          </w:tcPr>
          <w:p>
            <w:r>
              <w:t xml:space="preserve">Key columns must be tested for uniqueness and completeness.</w:t>
            </w:r>
          </w:p>
        </w:tc>
      </w:tr>
    </w:tbl>
    <w:p>
      <w:pPr>
        <w:pStyle w:val="Heading3"/>
      </w:pPr>
      <w:r>
        <w:t xml:space="preserve">R3 — Making it defensible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3000" w:type="dxa"/>
          </w:tcPr>
          <w:p>
            <w:r>
              <w:t xml:space="preserve">Requirement</w:t>
            </w:r>
          </w:p>
        </w:tc>
      </w:tr>
      <w:tr>
        <w:tc>
          <w:tcPr>
            <w:tcW w:w="3000" w:type="dxa"/>
          </w:tcPr>
          <w:p>
            <w:r>
              <w:t xml:space="preserve">R3.1</w:t>
            </w:r>
          </w:p>
        </w:tc>
        <w:tc>
          <w:tcPr>
            <w:tcW w:w="3000" w:type="dxa"/>
          </w:tcPr>
          <w:p>
            <w:r>
              <w:t xml:space="preserve">The agreed definitions must be recorded in the repository alongside the model — not in email, not in chat.</w:t>
            </w:r>
          </w:p>
        </w:tc>
      </w:tr>
      <w:tr>
        <w:tc>
          <w:tcPr>
            <w:tcW w:w="3000" w:type="dxa"/>
          </w:tcPr>
          <w:p>
            <w:r>
              <w:t xml:space="preserve">R3.2</w:t>
            </w:r>
          </w:p>
        </w:tc>
        <w:tc>
          <w:tcPr>
            <w:tcW w:w="3000" w:type="dxa"/>
          </w:tcPr>
          <w:p>
            <w:r>
              <w:t xml:space="preserve">Any later change to a definition must be reviewable: who decided, when, and why.</w:t>
            </w:r>
          </w:p>
        </w:tc>
      </w:tr>
      <w:tr>
        <w:tc>
          <w:tcPr>
            <w:tcW w:w="3000" w:type="dxa"/>
          </w:tcPr>
          <w:p>
            <w:r>
              <w:t xml:space="preserve">R3.3</w:t>
            </w:r>
          </w:p>
        </w:tc>
        <w:tc>
          <w:tcPr>
            <w:tcW w:w="3000" w:type="dxa"/>
          </w:tcPr>
          <w:p>
            <w:r>
              <w:t xml:space="preserve">The build must be reproducible by someone who did not write it.</w:t>
            </w:r>
          </w:p>
        </w:tc>
      </w:tr>
    </w:tbl>
    <w:p>
      <w:pPr>
        <w:pStyle w:val="Heading2"/>
      </w:pPr>
      <w:r>
        <w:t xml:space="preserve">6. Definitions, as the business states them today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Term</w:t>
            </w:r>
          </w:p>
        </w:tc>
        <w:tc>
          <w:tcPr>
            <w:tcW w:w="3000" w:type="dxa"/>
          </w:tcPr>
          <w:p>
            <w:r>
              <w:t xml:space="preserve">What the business means by it</w:t>
            </w:r>
          </w:p>
        </w:tc>
      </w:tr>
      <w:tr>
        <w:tc>
          <w:tcPr>
            <w:tcW w:w="3000" w:type="dxa"/>
          </w:tcPr>
          <w:p>
            <w:r>
              <w:t xml:space="preserve">Closed-won revenue</w:t>
            </w:r>
          </w:p>
        </w:tc>
        <w:tc>
          <w:tcPr>
            <w:tcW w:w="3000" w:type="dxa"/>
          </w:tcPr>
          <w:p>
            <w:r>
              <w:t xml:space="preserve">Revenue from deals we have won</w:t>
            </w:r>
          </w:p>
        </w:tc>
      </w:tr>
      <w:tr>
        <w:tc>
          <w:tcPr>
            <w:tcW w:w="3000" w:type="dxa"/>
          </w:tcPr>
          <w:p>
            <w:r>
              <w:t xml:space="preserve">Revenue</w:t>
            </w:r>
          </w:p>
        </w:tc>
        <w:tc>
          <w:tcPr>
            <w:tcW w:w="3000" w:type="dxa"/>
          </w:tcPr>
          <w:p>
            <w:r>
              <w:t xml:space="preserve">The value of the deal</w:t>
            </w:r>
          </w:p>
        </w:tc>
      </w:tr>
      <w:tr>
        <w:tc>
          <w:tcPr>
            <w:tcW w:w="3000" w:type="dxa"/>
          </w:tcPr>
          <w:p>
            <w:r>
              <w:t xml:space="preserve">Product family</w:t>
            </w:r>
          </w:p>
        </w:tc>
        <w:tc>
          <w:tcPr>
            <w:tcW w:w="3000" w:type="dxa"/>
          </w:tcPr>
          <w:p>
            <w:r>
              <w:t xml:space="preserve">The family of bike or part the revenue belongs to</w:t>
            </w:r>
          </w:p>
        </w:tc>
      </w:tr>
      <w:tr>
        <w:tc>
          <w:tcPr>
            <w:tcW w:w="3000" w:type="dxa"/>
          </w:tcPr>
          <w:p>
            <w:r>
              <w:t xml:space="preserve">Month</w:t>
            </w:r>
          </w:p>
        </w:tc>
        <w:tc>
          <w:tcPr>
            <w:tcW w:w="3000" w:type="dxa"/>
          </w:tcPr>
          <w:p>
            <w:r>
              <w:t xml:space="preserve">The month the deal closed</w:t>
            </w:r>
          </w:p>
        </w:tc>
      </w:tr>
    </w:tbl>
    <w:p>
      <w:r>
        <w:t xml:space="preserve">These are the definitions in use today, and they are as precise as the business</w:t>
      </w:r>
    </w:p>
    <w:p>
      <w:r>
        <w:t xml:space="preserve">can currently be. Where Salesforce offers more than one field that could satisfy</w:t>
      </w:r>
    </w:p>
    <w:p>
      <w:r>
        <w:t xml:space="preserve">one of them, the delivery team must bring the options back to the requester, with</w:t>
      </w:r>
    </w:p>
    <w:p>
      <w:r>
        <w:t xml:space="preserve">the numbers each one produces, and let the requester choose.</w:t>
      </w:r>
    </w:p>
    <w:p>
      <w:pPr>
        <w:pStyle w:val="Heading2"/>
      </w:pPr>
      <w:r>
        <w:t xml:space="preserve">7. Acceptance criteria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ID</w:t>
            </w:r>
          </w:p>
        </w:tc>
        <w:tc>
          <w:tcPr>
            <w:tcW w:w="3000" w:type="dxa"/>
          </w:tcPr>
          <w:p>
            <w:r>
              <w:t xml:space="preserve">Criterion</w:t>
            </w:r>
          </w:p>
        </w:tc>
      </w:tr>
      <w:tr>
        <w:tc>
          <w:tcPr>
            <w:tcW w:w="3000" w:type="dxa"/>
          </w:tcPr>
          <w:p>
            <w:r>
              <w:t xml:space="preserve">A1</w:t>
            </w:r>
          </w:p>
        </w:tc>
        <w:tc>
          <w:tcPr>
            <w:tcW w:w="3000" w:type="dxa"/>
          </w:tcPr>
          <w:p>
            <w:r>
              <w:t xml:space="preserve">The three Salesforce objects land in the data platform and can be queried.</w:t>
            </w:r>
          </w:p>
        </w:tc>
      </w:tr>
      <w:tr>
        <w:tc>
          <w:tcPr>
            <w:tcW w:w="3000" w:type="dxa"/>
          </w:tcPr>
          <w:p>
            <w:r>
              <w:t xml:space="preserve">A2</w:t>
            </w:r>
          </w:p>
        </w:tc>
        <w:tc>
          <w:tcPr>
            <w:tcW w:w="3000" w:type="dxa"/>
          </w:tcPr>
          <w:p>
            <w:r>
              <w:t xml:space="preserve">Rerunning the load leaves row counts stable.</w:t>
            </w:r>
          </w:p>
        </w:tc>
      </w:tr>
      <w:tr>
        <w:tc>
          <w:tcPr>
            <w:tcW w:w="3000" w:type="dxa"/>
          </w:tcPr>
          <w:p>
            <w:r>
              <w:t xml:space="preserve">A3</w:t>
            </w:r>
          </w:p>
        </w:tc>
        <w:tc>
          <w:tcPr>
            <w:tcW w:w="3000" w:type="dxa"/>
          </w:tcPr>
          <w:p>
            <w:r>
              <w:t xml:space="preserve">A monthly revenue by product family result set is produced, covering all nine families.</w:t>
            </w:r>
          </w:p>
        </w:tc>
      </w:tr>
      <w:tr>
        <w:tc>
          <w:tcPr>
            <w:tcW w:w="3000" w:type="dxa"/>
          </w:tcPr>
          <w:p>
            <w:r>
              <w:t xml:space="preserve">A4</w:t>
            </w:r>
          </w:p>
        </w:tc>
        <w:tc>
          <w:tcPr>
            <w:tcW w:w="3000" w:type="dxa"/>
          </w:tcPr>
          <w:p>
            <w:r>
              <w:t xml:space="preserve">The closed-won definition and the revenue definition each appear in a file in the repository, with a date and an approval against them.</w:t>
            </w:r>
          </w:p>
        </w:tc>
      </w:tr>
      <w:tr>
        <w:tc>
          <w:tcPr>
            <w:tcW w:w="3000" w:type="dxa"/>
          </w:tcPr>
          <w:p>
            <w:r>
              <w:t xml:space="preserve">A5</w:t>
            </w:r>
          </w:p>
        </w:tc>
        <w:tc>
          <w:tcPr>
            <w:tcW w:w="3000" w:type="dxa"/>
          </w:tcPr>
          <w:p>
            <w:r>
              <w:t xml:space="preserve">Unattributed revenue is reported as its own visible figure.</w:t>
            </w:r>
          </w:p>
        </w:tc>
      </w:tr>
      <w:tr>
        <w:tc>
          <w:tcPr>
            <w:tcW w:w="3000" w:type="dxa"/>
          </w:tcPr>
          <w:p>
            <w:r>
              <w:t xml:space="preserve">A6</w:t>
            </w:r>
          </w:p>
        </w:tc>
        <w:tc>
          <w:tcPr>
            <w:tcW w:w="3000" w:type="dxa"/>
          </w:tcPr>
          <w:p>
            <w:r>
              <w:t xml:space="preserve">Tests exist for the model's keys and they pass.</w:t>
            </w:r>
          </w:p>
        </w:tc>
      </w:tr>
      <w:tr>
        <w:tc>
          <w:tcPr>
            <w:tcW w:w="3000" w:type="dxa"/>
          </w:tcPr>
          <w:p>
            <w:r>
              <w:t xml:space="preserve">A7</w:t>
            </w:r>
          </w:p>
        </w:tc>
        <w:tc>
          <w:tcPr>
            <w:tcW w:w="3000" w:type="dxa"/>
          </w:tcPr>
          <w:p>
            <w:r>
              <w:t xml:space="preserve">The requester can see how each number was verified, without reading the code.</w:t>
            </w:r>
          </w:p>
        </w:tc>
      </w:tr>
    </w:tbl>
    <w:p>
      <w:pPr>
        <w:pStyle w:val="Heading2"/>
      </w:pPr>
      <w:r>
        <w:t xml:space="preserve">8. Assumptions</w:t>
      </w:r>
    </w:p>
    <w:p>
      <w:pPr>
        <w:pStyle w:val="ListParagraph"/>
      </w:pPr>
      <w:r>
        <w:t xml:space="preserve">Salesforce remains the system of record for deal data throughout.</w:t>
      </w:r>
    </w:p>
    <w:p>
      <w:pPr>
        <w:pStyle w:val="ListParagraph"/>
      </w:pPr>
      <w:r>
        <w:t xml:space="preserve">The nine product families in Appendix C are complete and stable for this</w:t>
      </w:r>
    </w:p>
    <w:p>
      <w:r>
        <w:t xml:space="preserve">reporting period.</w:t>
      </w:r>
    </w:p>
    <w:p>
      <w:pPr>
        <w:pStyle w:val="ListParagraph"/>
      </w:pPr>
      <w:r>
        <w:t xml:space="preserve">Currency is single-currency USD. Multi-currency is a later requirement.</w:t>
      </w:r>
    </w:p>
    <w:p>
      <w:pPr>
        <w:pStyle w:val="ListParagraph"/>
      </w:pPr>
      <w:r>
        <w:t xml:space="preserve">The data platform for this domain is already provisioned and active.</w:t>
      </w:r>
    </w:p>
    <w:p>
      <w:pPr>
        <w:pStyle w:val="Heading2"/>
      </w:pPr>
      <w:r>
        <w:t xml:space="preserve">9. Constraints and dependencies</w:t>
      </w:r>
    </w:p>
    <w:p>
      <w:pPr>
        <w:pStyle w:val="ListParagraph"/>
      </w:pPr>
      <w:r>
        <w:t xml:space="preserve">Access to the Salesforce instance is read only, via an existing session token.</w:t>
      </w:r>
    </w:p>
    <w:p>
      <w:r>
        <w:t xml:space="preserve">There is no login flow available to this project.</w:t>
      </w:r>
    </w:p>
    <w:p>
      <w:pPr>
        <w:pStyle w:val="ListParagraph"/>
      </w:pPr>
      <w:r>
        <w:t xml:space="preserve">Credential values are provisioned into the domain's secret store by the</w:t>
      </w:r>
    </w:p>
    <w:p>
      <w:r>
        <w:t xml:space="preserve">platform team. Allow two working days' lead time. The delivery team never holds</w:t>
      </w:r>
    </w:p>
    <w:p>
      <w:r>
        <w:t xml:space="preserve">them in the repository.</w:t>
      </w:r>
    </w:p>
    <w:p>
      <w:pPr>
        <w:pStyle w:val="ListParagraph"/>
      </w:pPr>
      <w:r>
        <w:t xml:space="preserve">The source instance does not answer aggregate queries. All aggregation happens</w:t>
      </w:r>
    </w:p>
    <w:p>
      <w:r>
        <w:t xml:space="preserve">after the data has landed.</w:t>
      </w:r>
    </w:p>
    <w:p>
      <w:pPr>
        <w:pStyle w:val="Heading2"/>
      </w:pPr>
      <w:r>
        <w:t xml:space="preserve">Appendix A — The reporting discrepancy we need settled</w:t>
      </w:r>
    </w:p>
    <w:p>
      <w:r>
        <w:t xml:space="preserve">Both figures below were produced from the same Salesforce org, on the same day, by</w:t>
      </w:r>
    </w:p>
    <w:p>
      <w:r>
        <w:t xml:space="preserve">people who each believe their number is correct.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r>
              <w:t xml:space="preserve">Report</w:t>
            </w:r>
          </w:p>
        </w:tc>
        <w:tc>
          <w:tcPr>
            <w:tcW w:w="3000" w:type="dxa"/>
          </w:tcPr>
          <w:p>
            <w:r>
              <w:t xml:space="preserve">Deals</w:t>
            </w:r>
          </w:p>
        </w:tc>
        <w:tc>
          <w:tcPr>
            <w:tcW w:w="3000" w:type="dxa"/>
          </w:tcPr>
          <w:p>
            <w:r>
              <w:t xml:space="preserve">Total value</w:t>
            </w:r>
          </w:p>
        </w:tc>
      </w:tr>
      <w:tr>
        <w:tc>
          <w:tcPr>
            <w:tcW w:w="3000" w:type="dxa"/>
          </w:tcPr>
          <w:p>
            <w:r>
              <w:t xml:space="preserve">Sales Ops — deals at stage "Closed Won"</w:t>
            </w:r>
          </w:p>
        </w:tc>
        <w:tc>
          <w:tcPr>
            <w:tcW w:w="3000" w:type="dxa"/>
          </w:tcPr>
          <w:p>
            <w:r>
              <w:t xml:space="preserve">3,794</w:t>
            </w:r>
          </w:p>
        </w:tc>
        <w:tc>
          <w:tcPr>
            <w:tcW w:w="3000" w:type="dxa"/>
          </w:tcPr>
          <w:p>
            <w:r>
              <w:t xml:space="preserve">$1,418,099,415</w:t>
            </w:r>
          </w:p>
        </w:tc>
      </w:tr>
      <w:tr>
        <w:tc>
          <w:tcPr>
            <w:tcW w:w="3000" w:type="dxa"/>
          </w:tcPr>
          <w:p>
            <w:r>
              <w:t xml:space="preserve">Finance — won-deal extract</w:t>
            </w:r>
          </w:p>
        </w:tc>
        <w:tc>
          <w:tcPr>
            <w:tcW w:w="3000" w:type="dxa"/>
          </w:tcPr>
          <w:p>
            <w:r>
              <w:t xml:space="preserve">2,961</w:t>
            </w:r>
          </w:p>
        </w:tc>
        <w:tc>
          <w:tcPr>
            <w:tcW w:w="3000" w:type="dxa"/>
          </w:tcPr>
          <w:p>
            <w:r>
              <w:t xml:space="preserve">$1,105,896,542</w:t>
            </w:r>
          </w:p>
        </w:tc>
      </w:tr>
      <w:tr>
        <w:tc>
          <w:tcPr>
            <w:tcW w:w="3000" w:type="dxa"/>
          </w:tcPr>
          <w:p>
            <w:r>
              <w:t xml:space="preserve">Difference</w:t>
            </w:r>
          </w:p>
        </w:tc>
        <w:tc>
          <w:tcPr>
            <w:tcW w:w="3000" w:type="dxa"/>
          </w:tcPr>
          <w:p>
            <w:r>
              <w:t xml:space="preserve">833</w:t>
            </w:r>
          </w:p>
        </w:tc>
        <w:tc>
          <w:tcPr>
            <w:tcW w:w="3000" w:type="dxa"/>
          </w:tcPr>
          <w:p>
            <w:r>
              <w:t xml:space="preserve">$312,202,874</w:t>
            </w:r>
          </w:p>
        </w:tc>
      </w:tr>
    </w:tbl>
    <w:p>
      <w:r>
        <w:t xml:space="preserve">The gap is 22% of the larger figure. Deciding which of the two this project</w:t>
      </w:r>
    </w:p>
    <w:p>
      <w:r>
        <w:t xml:space="preserve">reports is part of the work, and the answer must be recorded where the next</w:t>
      </w:r>
    </w:p>
    <w:p>
      <w:r>
        <w:t xml:space="preserve">person can find it.</w:t>
      </w:r>
    </w:p>
    <w:p>
      <w:pPr>
        <w:pStyle w:val="Heading2"/>
      </w:pPr>
      <w:r>
        <w:t xml:space="preserve">Appendix B — Source system access</w:t>
      </w:r>
    </w:p>
    <w:p>
      <w:r>
        <w:t xml:space="preserve">Read-only access is provided through an existing session token held in the</w:t>
      </w:r>
    </w:p>
    <w:p>
      <w:r>
        <w:t xml:space="preserve">domain's secret store. The delivery team resolves it at run time and never copies</w:t>
      </w:r>
    </w:p>
    <w:p>
      <w:r>
        <w:t xml:space="preserve">it into the repository or into any document.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Property</w:t>
            </w:r>
          </w:p>
        </w:tc>
        <w:tc>
          <w:tcPr>
            <w:tcW w:w="3000" w:type="dxa"/>
          </w:tcPr>
          <w:p>
            <w:r>
              <w:t xml:space="preserve">Value</w:t>
            </w:r>
          </w:p>
        </w:tc>
      </w:tr>
      <w:tr>
        <w:tc>
          <w:tcPr>
            <w:tcW w:w="3000" w:type="dxa"/>
          </w:tcPr>
          <w:p>
            <w:r>
              <w:t xml:space="preserve">Instance endpoint</w:t>
            </w:r>
          </w:p>
        </w:tc>
        <w:tc>
          <w:tcPr>
            <w:tcW w:w="3000" w:type="dxa"/>
          </w:tcPr>
          <w:p>
            <w:r>
              <w:t xml:space="preserve">Provisioned per environment; resolved from the secret store</w:t>
            </w:r>
          </w:p>
        </w:tc>
      </w:tr>
      <w:tr>
        <w:tc>
          <w:tcPr>
            <w:tcW w:w="3000" w:type="dxa"/>
          </w:tcPr>
          <w:p>
            <w:r>
              <w:t xml:space="preserve">Credential</w:t>
            </w:r>
          </w:p>
        </w:tc>
        <w:tc>
          <w:tcPr>
            <w:tcW w:w="3000" w:type="dxa"/>
          </w:tcPr>
          <w:p>
            <w:r>
              <w:t xml:space="preserve">Session token, secret-store reference only — never a literal</w:t>
            </w:r>
          </w:p>
        </w:tc>
      </w:tr>
      <w:tr>
        <w:tc>
          <w:tcPr>
            <w:tcW w:w="3000" w:type="dxa"/>
          </w:tcPr>
          <w:p>
            <w:r>
              <w:t xml:space="preserve">Aggregate queries</w:t>
            </w:r>
          </w:p>
        </w:tc>
        <w:tc>
          <w:tcPr>
            <w:tcW w:w="3000" w:type="dxa"/>
          </w:tcPr>
          <w:p>
            <w:r>
              <w:t xml:space="preserve">Not supported by the source instance</w:t>
            </w:r>
          </w:p>
        </w:tc>
      </w:tr>
      <w:tr>
        <w:tc>
          <w:tcPr>
            <w:tcW w:w="3000" w:type="dxa"/>
          </w:tcPr>
          <w:p>
            <w:r>
              <w:t xml:space="preserve">Row volumes</w:t>
            </w:r>
          </w:p>
        </w:tc>
        <w:tc>
          <w:tcPr>
            <w:tcW w:w="3000" w:type="dxa"/>
          </w:tcPr>
          <w:p>
            <w:r>
              <w:t xml:space="preserve">Opportunities and line items in the low tens of thousands</w:t>
            </w:r>
          </w:p>
        </w:tc>
      </w:tr>
    </w:tbl>
    <w:p>
      <w:pPr>
        <w:pStyle w:val="Heading2"/>
      </w:pPr>
      <w:r>
        <w:t xml:space="preserve">Appendix C — What the July discovery spike found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Finding</w:t>
            </w:r>
          </w:p>
        </w:tc>
        <w:tc>
          <w:tcPr>
            <w:tcW w:w="3000" w:type="dxa"/>
          </w:tcPr>
          <w:p>
            <w:r>
              <w:t xml:space="preserve">Figure</w:t>
            </w:r>
          </w:p>
        </w:tc>
      </w:tr>
      <w:tr>
        <w:tc>
          <w:tcPr>
            <w:tcW w:w="3000" w:type="dxa"/>
          </w:tcPr>
          <w:p>
            <w:r>
              <w:t xml:space="preserve">Opportunities at "Closed Won" with no line items at all</w:t>
            </w:r>
          </w:p>
        </w:tc>
        <w:tc>
          <w:tcPr>
            <w:tcW w:w="3000" w:type="dxa"/>
          </w:tcPr>
          <w:p>
            <w:r>
              <w:t xml:space="preserve">8%</w:t>
            </w:r>
          </w:p>
        </w:tc>
      </w:tr>
      <w:tr>
        <w:tc>
          <w:tcPr>
            <w:tcW w:w="3000" w:type="dxa"/>
          </w:tcPr>
          <w:p>
            <w:r>
              <w:t xml:space="preserve">Line items whose product cannot be resolved to a family</w:t>
            </w:r>
          </w:p>
        </w:tc>
        <w:tc>
          <w:tcPr>
            <w:tcW w:w="3000" w:type="dxa"/>
          </w:tcPr>
          <w:p>
            <w:r>
              <w:t xml:space="preserve">22%</w:t>
            </w:r>
          </w:p>
        </w:tc>
      </w:tr>
      <w:tr>
        <w:tc>
          <w:tcPr>
            <w:tcW w:w="3000" w:type="dxa"/>
          </w:tcPr>
          <w:p>
            <w:r>
              <w:t xml:space="preserve">Line items where Quantity × UnitPrice does not equal TotalPrice</w:t>
            </w:r>
          </w:p>
        </w:tc>
        <w:tc>
          <w:tcPr>
            <w:tcW w:w="3000" w:type="dxa"/>
          </w:tcPr>
          <w:p>
            <w:r>
              <w:t xml:space="preserve">Present, unquantified</w:t>
            </w:r>
          </w:p>
        </w:tc>
      </w:tr>
      <w:tr>
        <w:tc>
          <w:tcPr>
            <w:tcW w:w="3000" w:type="dxa"/>
          </w:tcPr>
          <w:p>
            <w:r>
              <w:t xml:space="preserve">Distinct product families in the product record</w:t>
            </w:r>
          </w:p>
        </w:tc>
        <w:tc>
          <w:tcPr>
            <w:tcW w:w="3000" w:type="dxa"/>
          </w:tcPr>
          <w:p>
            <w:r>
              <w:t xml:space="preserve">9</w:t>
            </w:r>
          </w:p>
        </w:tc>
      </w:tr>
    </w:tbl>
    <w:p>
      <w:r>
        <w:t xml:space="preserve">The spike also found that StageName = "Closed Won" and the IsWon flag do not</w:t>
      </w:r>
    </w:p>
    <w:p>
      <w:r>
        <w:t xml:space="preserve">always agree, which is the most likely source of the Appendix A gap.</w:t>
      </w:r>
    </w:p>
    <w:p>
      <w:pPr>
        <w:pStyle w:val="Heading2"/>
      </w:pPr>
      <w:r>
        <w:t xml:space="preserve">Sign-off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r>
              <w:t xml:space="preserve">Role</w:t>
            </w:r>
          </w:p>
        </w:tc>
        <w:tc>
          <w:tcPr>
            <w:tcW w:w="3000" w:type="dxa"/>
          </w:tcPr>
          <w:p>
            <w:r>
              <w:t xml:space="preserve">Name</w:t>
            </w:r>
          </w:p>
        </w:tc>
        <w:tc>
          <w:tcPr>
            <w:tcW w:w="3000" w:type="dxa"/>
          </w:tcPr>
          <w:p>
            <w:r>
              <w:t xml:space="preserve">Date</w:t>
            </w:r>
          </w:p>
        </w:tc>
      </w:tr>
      <w:tr>
        <w:tc>
          <w:tcPr>
            <w:tcW w:w="3000" w:type="dxa"/>
          </w:tcPr>
          <w:p>
            <w:r>
              <w:t xml:space="preserve">Requested by</w:t>
            </w:r>
          </w:p>
        </w:tc>
        <w:tc>
          <w:tcPr>
            <w:tcW w:w="3000" w:type="dxa"/>
          </w:tcPr>
          <w:p>
            <w:r>
              <w:t xml:space="preserve">VP, Revenue Operations</w:t>
            </w:r>
          </w:p>
        </w:tc>
        <w:tc>
          <w:tcPr>
            <w:tcW w:w="3000" w:type="dxa"/>
          </w:tcPr>
          <w:p>
            <w:r>
              <w:t xml:space="preserve">11 August 2026</w:t>
            </w:r>
          </w:p>
        </w:tc>
      </w:tr>
      <w:tr>
        <w:tc>
          <w:tcPr>
            <w:tcW w:w="3000" w:type="dxa"/>
          </w:tcPr>
          <w:p>
            <w:r>
              <w:t xml:space="preserve">Business sponsor</w:t>
            </w:r>
          </w:p>
        </w:tc>
        <w:tc>
          <w:tcPr>
            <w:tcW w:w="3000" w:type="dxa"/>
          </w:tcPr>
          <w:p>
            <w:r>
              <w:t xml:space="preserve">Chief Financial Officer</w:t>
            </w:r>
          </w:p>
        </w:tc>
        <w:tc>
          <w:tcPr>
            <w:tcW w:w="3000" w:type="dxa"/>
          </w:tcPr>
          <w:p>
            <w:r>
              <w:t xml:space="preserve">11 August 2026</w:t>
            </w:r>
          </w:p>
        </w:tc>
      </w:tr>
    </w:tbl>
  </w:body>
</w:document>
</file>