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REV-2026-014 — Monthly Revenue Reporting Requirement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Field</w:t>
            </w:r>
          </w:p>
        </w:tc>
        <w:tc>
          <w:tcPr>
            <w:tcW w:w="3000" w:type="dxa"/>
          </w:tcPr>
          <w:p>
            <w:r>
              <w:t xml:space="preserve">Value</w:t>
            </w:r>
          </w:p>
        </w:tc>
      </w:tr>
      <w:tr>
        <w:tc>
          <w:tcPr>
            <w:tcW w:w="3000" w:type="dxa"/>
          </w:tcPr>
          <w:p>
            <w:r>
              <w:t xml:space="preserve">Document ID</w:t>
            </w:r>
          </w:p>
        </w:tc>
        <w:tc>
          <w:tcPr>
            <w:tcW w:w="3000" w:type="dxa"/>
          </w:tcPr>
          <w:p>
            <w:r>
              <w:t xml:space="preserve">REV-2026-014</w:t>
            </w:r>
          </w:p>
        </w:tc>
      </w:tr>
      <w:tr>
        <w:tc>
          <w:tcPr>
            <w:tcW w:w="3000" w:type="dxa"/>
          </w:tcPr>
          <w:p>
            <w:r>
              <w:t xml:space="preserve">Version</w:t>
            </w:r>
          </w:p>
        </w:tc>
        <w:tc>
          <w:tcPr>
            <w:tcW w:w="3000" w:type="dxa"/>
          </w:tcPr>
          <w:p>
            <w:r>
              <w:t xml:space="preserve">1.3</w:t>
            </w:r>
          </w:p>
        </w:tc>
      </w:tr>
      <w:tr>
        <w:tc>
          <w:tcPr>
            <w:tcW w:w="3000" w:type="dxa"/>
          </w:tcPr>
          <w:p>
            <w:r>
              <w:t xml:space="preserve">Status</w:t>
            </w:r>
          </w:p>
        </w:tc>
        <w:tc>
          <w:tcPr>
            <w:tcW w:w="3000" w:type="dxa"/>
          </w:tcPr>
          <w:p>
            <w:r>
              <w:t xml:space="preserve">Approved for build</w:t>
            </w:r>
          </w:p>
        </w:tc>
      </w:tr>
      <w:tr>
        <w:tc>
          <w:tcPr>
            <w:tcW w:w="3000" w:type="dxa"/>
          </w:tcPr>
          <w:p>
            <w:r>
              <w:t xml:space="preserve">Owner</w:t>
            </w:r>
          </w:p>
        </w:tc>
        <w:tc>
          <w:tcPr>
            <w:tcW w:w="3000" w:type="dxa"/>
          </w:tcPr>
          <w:p>
            <w:r>
              <w:t xml:space="preserve">Revenue Operations</w:t>
            </w:r>
          </w:p>
        </w:tc>
      </w:tr>
      <w:tr>
        <w:tc>
          <w:tcPr>
            <w:tcW w:w="3000" w:type="dxa"/>
          </w:tcPr>
          <w:p>
            <w:r>
              <w:t xml:space="preserve">Last revised</w:t>
            </w:r>
          </w:p>
        </w:tc>
        <w:tc>
          <w:tcPr>
            <w:tcW w:w="3000" w:type="dxa"/>
          </w:tcPr>
          <w:p>
            <w:r>
              <w:t xml:space="preserve">11 August 2026</w:t>
            </w:r>
          </w:p>
        </w:tc>
      </w:tr>
    </w:tbl>
    <w:p>
      <w:pPr>
        <w:pStyle w:val="Heading2"/>
      </w:pPr>
      <w:r>
        <w:t xml:space="preserve">1. Background</w:t>
      </w:r>
    </w:p>
    <w:p>
      <w:r>
        <w:t xml:space="preserve">Sales Operations reports monthly revenue from Salesforce by hand, exporting</w:t>
      </w:r>
    </w:p>
    <w:p>
      <w:r>
        <w:t xml:space="preserve">Opportunity data to a spreadsheet each month. The figure is reconciled late, is</w:t>
      </w:r>
    </w:p>
    <w:p>
      <w:r>
        <w:t xml:space="preserve">not reproducible, and has twice disagreed with the number Finance presented at</w:t>
      </w:r>
    </w:p>
    <w:p>
      <w:r>
        <w:t xml:space="preserve">the monthly close. We want the same figure produced from the warehouse, on a</w:t>
      </w:r>
    </w:p>
    <w:p>
      <w:r>
        <w:t xml:space="preserve">schedule, with tests.</w:t>
      </w:r>
    </w:p>
    <w:p>
      <w:pPr>
        <w:pStyle w:val="Heading2"/>
      </w:pPr>
      <w:r>
        <w:t xml:space="preserve">2. Scope</w:t>
      </w:r>
    </w:p>
    <w:p>
      <w:r>
        <w:t xml:space="preserve">Monthly recognised revenue by customer account, sourced from Salesforce</w:t>
      </w:r>
    </w:p>
    <w:p>
      <w:r>
        <w:t xml:space="preserve">Opportunity data, for the trailing 24 months.</w:t>
      </w:r>
    </w:p>
    <w:p>
      <w:r>
        <w:t xml:space="preserve">In scope:</w:t>
      </w:r>
    </w:p>
    <w:p>
      <w:pPr>
        <w:pStyle w:val="ListParagraph"/>
      </w:pPr>
      <w:r>
        <w:t xml:space="preserve">Opportunity and OpportunityLineItem</w:t>
      </w:r>
    </w:p>
    <w:p>
      <w:pPr>
        <w:pStyle w:val="ListParagraph"/>
      </w:pPr>
      <w:r>
        <w:t xml:space="preserve">Account, for the customer dimension and its parent/child hierarchy</w:t>
      </w:r>
    </w:p>
    <w:p>
      <w:pPr>
        <w:pStyle w:val="ListParagraph"/>
      </w:pPr>
      <w:r>
        <w:t xml:space="preserve">Currency conversion to the reporting currency</w:t>
      </w:r>
    </w:p>
    <w:p>
      <w:r>
        <w:t xml:space="preserve">Out of scope:</w:t>
      </w:r>
    </w:p>
    <w:p>
      <w:pPr>
        <w:pStyle w:val="ListParagraph"/>
      </w:pPr>
      <w:r>
        <w:t xml:space="preserve">Forecast or pipeline revenue</w:t>
      </w:r>
    </w:p>
    <w:p>
      <w:pPr>
        <w:pStyle w:val="ListParagraph"/>
      </w:pPr>
      <w:r>
        <w:t xml:space="preserve">Subscription/recurring revenue schedules</w:t>
      </w:r>
    </w:p>
    <w:p>
      <w:pPr>
        <w:pStyle w:val="ListParagraph"/>
      </w:pPr>
      <w:r>
        <w:t xml:space="preserve">Product-level revenue detail</w:t>
      </w:r>
    </w:p>
    <w:p>
      <w:pPr>
        <w:pStyle w:val="ListParagraph"/>
      </w:pPr>
      <w:r>
        <w:t xml:space="preserve">Anything sourced outside Salesforce</w:t>
      </w:r>
    </w:p>
    <w:p>
      <w:pPr>
        <w:pStyle w:val="Heading2"/>
      </w:pPr>
      <w:r>
        <w:t xml:space="preserve">3. Definitions</w:t>
      </w:r>
    </w:p>
    <w:p>
      <w:r>
        <w:t xml:space="preserve">Recognised revenue. The Amount on an Opportunity whose StageName is</w:t>
      </w:r>
    </w:p>
    <w:p>
      <w:r>
        <w:t xml:space="preserve">Closed Won, attributed to the calendar month of its CloseDate.</w:t>
      </w:r>
    </w:p>
    <w:p>
      <w:r>
        <w:t xml:space="preserve">Reporting currency. USD. Opportunity records carry CurrencyIsoCode and</w:t>
      </w:r>
    </w:p>
    <w:p>
      <w:r>
        <w:t xml:space="preserve">ConversionRate; the converted amount is Amount  ConversionRate.</w:t>
      </w:r>
    </w:p>
    <w:p>
      <w:r>
        <w:t xml:space="preserve">Account hierarchy. Some accounts are subsidiaries and carry ParentId.</w:t>
      </w:r>
    </w:p>
    <w:p>
      <w:r>
        <w:t xml:space="preserve">Revenue Operations reports at the individual account level today.</w:t>
      </w:r>
    </w:p>
    <w:p>
      <w:pPr>
        <w:pStyle w:val="Heading2"/>
      </w:pPr>
      <w:r>
        <w:t xml:space="preserve">4. Known data conditions</w:t>
      </w:r>
    </w:p>
    <w:p>
      <w:r>
        <w:t xml:space="preserve">These are present in the source and have caused disagreement before. The build</w:t>
      </w:r>
    </w:p>
    <w:p>
      <w:r>
        <w:t xml:space="preserve">should make its handling of each one explicit and tested.</w:t>
      </w:r>
    </w:p>
    <w:p>
      <w:pPr>
        <w:pStyle w:val="ListParagraph"/>
      </w:pPr>
      <w:r>
        <w:t xml:space="preserve">**Amended deals.** An Opportunity can be closed won, then have its Amount</w:t>
      </w:r>
    </w:p>
    <w:p>
      <w:r>
        <w:t xml:space="preserve">revised in a later period. LastModifiedDate moves; CloseDate does not.</w:t>
      </w:r>
    </w:p>
    <w:p>
      <w:r>
        <w:t xml:space="preserve">Restatements have moved a closed month's total after it was reported.</w:t>
      </w:r>
    </w:p>
    <w:p>
      <w:pPr>
        <w:pStyle w:val="ListParagraph"/>
      </w:pPr>
      <w:r>
        <w:t xml:space="preserve">**Orphaned line items.** A small number of OpportunityLineItem rows reference</w:t>
      </w:r>
    </w:p>
    <w:p>
      <w:r>
        <w:t xml:space="preserve">an OpportunityId that is absent from the Opportunity extract.</w:t>
      </w:r>
    </w:p>
    <w:p>
      <w:pPr>
        <w:pStyle w:val="ListParagraph"/>
      </w:pPr>
      <w:r>
        <w:t xml:space="preserve">**Missing close dates.** A handful of closed-won Opportunities have a null</w:t>
      </w:r>
    </w:p>
    <w:p>
      <w:r>
        <w:t xml:space="preserve">CloseDate and therefore no month to attribute to.</w:t>
      </w:r>
    </w:p>
    <w:p>
      <w:pPr>
        <w:pStyle w:val="ListParagraph"/>
      </w:pPr>
      <w:r>
        <w:t xml:space="preserve">**Multi-currency.** Roughly a fifth of opportunities are booked in a currency</w:t>
      </w:r>
    </w:p>
    <w:p>
      <w:r>
        <w:t xml:space="preserve">other than USD, and two carry a null ConversionRate.</w:t>
      </w:r>
    </w:p>
    <w:p>
      <w:pPr>
        <w:pStyle w:val="ListParagraph"/>
      </w:pPr>
      <w:r>
        <w:t xml:space="preserve">**Test accounts.** Internal accounts used for training are flagged by name</w:t>
      </w:r>
    </w:p>
    <w:p>
      <w:r>
        <w:t xml:space="preserve">and should not reach the reported figure.</w:t>
      </w:r>
    </w:p>
    <w:p>
      <w:pPr>
        <w:pStyle w:val="Heading2"/>
      </w:pPr>
      <w:r>
        <w:t xml:space="preserve">5. Consumers and cadence</w:t>
      </w:r>
    </w:p>
    <w:p>
      <w:pPr>
        <w:pStyle w:val="ListParagraph"/>
      </w:pPr>
      <w:r>
        <w:t xml:space="preserve">Sales Operations owns the number.</w:t>
      </w:r>
    </w:p>
    <w:p>
      <w:pPr>
        <w:pStyle w:val="ListParagraph"/>
      </w:pPr>
      <w:r>
        <w:t xml:space="preserve">Finance consumes it in the monthly close pack.</w:t>
      </w:r>
    </w:p>
    <w:p>
      <w:pPr>
        <w:pStyle w:val="ListParagraph"/>
      </w:pPr>
      <w:r>
        <w:t xml:space="preserve">The executive dashboard reads the same model.</w:t>
      </w:r>
    </w:p>
    <w:p>
      <w:r>
        <w:t xml:space="preserve">Refresh nightly. Month-to-date should be current as of the previous business</w:t>
      </w:r>
    </w:p>
    <w:p>
      <w:r>
        <w:t xml:space="preserve">day; a closed month should be final by the third business day of the following</w:t>
      </w:r>
    </w:p>
    <w:p>
      <w:r>
        <w:t xml:space="preserve">month.</w:t>
      </w:r>
    </w:p>
    <w:p>
      <w:pPr>
        <w:pStyle w:val="Heading2"/>
      </w:pPr>
      <w:r>
        <w:t xml:space="preserve">6. Success criteria</w:t>
      </w:r>
    </w:p>
    <w:p>
      <w:pPr>
        <w:pStyle w:val="ListParagraph"/>
      </w:pPr>
      <w:r>
        <w:t xml:space="preserve">The monthly figure is reproducible from the warehouse without manual steps.</w:t>
      </w:r>
    </w:p>
    <w:p>
      <w:pPr>
        <w:pStyle w:val="ListParagraph"/>
      </w:pPr>
      <w:r>
        <w:t xml:space="preserve">Each condition in section 4 has a documented decision and a test.</w:t>
      </w:r>
    </w:p>
    <w:p>
      <w:pPr>
        <w:pStyle w:val="ListParagraph"/>
      </w:pPr>
      <w:r>
        <w:t xml:space="preserve">Finance and Sales Operations reconcile to the same number for the trailing</w:t>
      </w:r>
    </w:p>
    <w:p>
      <w:r>
        <w:t xml:space="preserve">three closed months.</w:t>
      </w:r>
    </w:p>
    <w:p>
      <w:pPr>
        <w:pStyle w:val="Heading2"/>
      </w:pPr>
      <w:r>
        <w:t xml:space="preserve">Appendix A — Field reference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Object</w:t>
            </w:r>
          </w:p>
        </w:tc>
        <w:tc>
          <w:tcPr>
            <w:tcW w:w="3000" w:type="dxa"/>
          </w:tcPr>
          <w:p>
            <w:r>
              <w:t xml:space="preserve">Field</w:t>
            </w:r>
          </w:p>
        </w:tc>
        <w:tc>
          <w:tcPr>
            <w:tcW w:w="3000" w:type="dxa"/>
          </w:tcPr>
          <w:p>
            <w:r>
              <w:t xml:space="preserve">Notes</w:t>
            </w:r>
          </w:p>
        </w:tc>
      </w:tr>
      <w:tr>
        <w:tc>
          <w:tcPr>
            <w:tcW w:w="3000" w:type="dxa"/>
          </w:tcPr>
          <w:p>
            <w:r>
              <w:t xml:space="preserve">Opportunity</w:t>
            </w:r>
          </w:p>
        </w:tc>
        <w:tc>
          <w:tcPr>
            <w:tcW w:w="3000" w:type="dxa"/>
          </w:tcPr>
          <w:p>
            <w:r>
              <w:t xml:space="preserve">Id, AccountId, Amount, CurrencyIsoCode, ConversionRate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Opportunity</w:t>
            </w:r>
          </w:p>
        </w:tc>
        <w:tc>
          <w:tcPr>
            <w:tcW w:w="3000" w:type="dxa"/>
          </w:tcPr>
          <w:p>
            <w:r>
              <w:t xml:space="preserve">StageName</w:t>
            </w:r>
          </w:p>
        </w:tc>
        <w:tc>
          <w:tcPr>
            <w:tcW w:w="3000" w:type="dxa"/>
          </w:tcPr>
          <w:p>
            <w:r>
              <w:t xml:space="preserve">`Closed Won` is the recognised set</w:t>
            </w:r>
          </w:p>
        </w:tc>
      </w:tr>
      <w:tr>
        <w:tc>
          <w:tcPr>
            <w:tcW w:w="3000" w:type="dxa"/>
          </w:tcPr>
          <w:p>
            <w:r>
              <w:t xml:space="preserve">Opportunity</w:t>
            </w:r>
          </w:p>
        </w:tc>
        <w:tc>
          <w:tcPr>
            <w:tcW w:w="3000" w:type="dxa"/>
          </w:tcPr>
          <w:p>
            <w:r>
              <w:t xml:space="preserve">CloseDate</w:t>
            </w:r>
          </w:p>
        </w:tc>
        <w:tc>
          <w:tcPr>
            <w:tcW w:w="3000" w:type="dxa"/>
          </w:tcPr>
          <w:p>
            <w:r>
              <w:t xml:space="preserve">Attribution month; nullable in practice</w:t>
            </w:r>
          </w:p>
        </w:tc>
      </w:tr>
      <w:tr>
        <w:tc>
          <w:tcPr>
            <w:tcW w:w="3000" w:type="dxa"/>
          </w:tcPr>
          <w:p>
            <w:r>
              <w:t xml:space="preserve">Opportunity</w:t>
            </w:r>
          </w:p>
        </w:tc>
        <w:tc>
          <w:tcPr>
            <w:tcW w:w="3000" w:type="dxa"/>
          </w:tcPr>
          <w:p>
            <w:r>
              <w:t xml:space="preserve">LastModifiedDate</w:t>
            </w:r>
          </w:p>
        </w:tc>
        <w:tc>
          <w:tcPr>
            <w:tcW w:w="3000" w:type="dxa"/>
          </w:tcPr>
          <w:p>
            <w:r>
              <w:t xml:space="preserve">Moves on amendment</w:t>
            </w:r>
          </w:p>
        </w:tc>
      </w:tr>
      <w:tr>
        <w:tc>
          <w:tcPr>
            <w:tcW w:w="3000" w:type="dxa"/>
          </w:tcPr>
          <w:p>
            <w:r>
              <w:t xml:space="preserve">OpportunityLineItem</w:t>
            </w:r>
          </w:p>
        </w:tc>
        <w:tc>
          <w:tcPr>
            <w:tcW w:w="3000" w:type="dxa"/>
          </w:tcPr>
          <w:p>
            <w:r>
              <w:t xml:space="preserve">Id, OpportunityId, ProductName, Quantity, UnitPrice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Account</w:t>
            </w:r>
          </w:p>
        </w:tc>
        <w:tc>
          <w:tcPr>
            <w:tcW w:w="3000" w:type="dxa"/>
          </w:tcPr>
          <w:p>
            <w:r>
              <w:t xml:space="preserve">Id, Name, ParentId, Industry, BillingCountry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Sign-off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Role</w:t>
            </w:r>
          </w:p>
        </w:tc>
        <w:tc>
          <w:tcPr>
            <w:tcW w:w="3000" w:type="dxa"/>
          </w:tcPr>
          <w:p>
            <w:r>
              <w:t xml:space="preserve">Name</w:t>
            </w:r>
          </w:p>
        </w:tc>
        <w:tc>
          <w:tcPr>
            <w:tcW w:w="3000" w:type="dxa"/>
          </w:tcPr>
          <w:p>
            <w:r>
              <w:t xml:space="preserve">Date</w:t>
            </w:r>
          </w:p>
        </w:tc>
      </w:tr>
      <w:tr>
        <w:tc>
          <w:tcPr>
            <w:tcW w:w="3000" w:type="dxa"/>
          </w:tcPr>
          <w:p>
            <w:r>
              <w:t xml:space="preserve">Requested by</w:t>
            </w:r>
          </w:p>
        </w:tc>
        <w:tc>
          <w:tcPr>
            <w:tcW w:w="3000" w:type="dxa"/>
          </w:tcPr>
          <w:p>
            <w:r>
              <w:t xml:space="preserve">VP, Revenue Operations</w:t>
            </w:r>
          </w:p>
        </w:tc>
        <w:tc>
          <w:tcPr>
            <w:tcW w:w="3000" w:type="dxa"/>
          </w:tcPr>
          <w:p>
            <w:r>
              <w:t xml:space="preserve">11 August 2026</w:t>
            </w:r>
          </w:p>
        </w:tc>
      </w:tr>
      <w:tr>
        <w:tc>
          <w:tcPr>
            <w:tcW w:w="3000" w:type="dxa"/>
          </w:tcPr>
          <w:p>
            <w:r>
              <w:t xml:space="preserve">Business sponsor</w:t>
            </w:r>
          </w:p>
        </w:tc>
        <w:tc>
          <w:tcPr>
            <w:tcW w:w="3000" w:type="dxa"/>
          </w:tcPr>
          <w:p>
            <w:r>
              <w:t xml:space="preserve">Chief Financial Officer</w:t>
            </w:r>
          </w:p>
        </w:tc>
        <w:tc>
          <w:tcPr>
            <w:tcW w:w="3000" w:type="dxa"/>
          </w:tcPr>
          <w:p>
            <w:r>
              <w:t xml:space="preserve">11 August 2026</w:t>
            </w:r>
          </w:p>
        </w:tc>
      </w:tr>
      <w:tr>
        <w:tc>
          <w:tcPr>
            <w:tcW w:w="3000" w:type="dxa"/>
          </w:tcPr>
          <w:p>
            <w:r>
              <w:t xml:space="preserve">Data owner</w:t>
            </w:r>
          </w:p>
        </w:tc>
        <w:tc>
          <w:tcPr>
            <w:tcW w:w="3000" w:type="dxa"/>
          </w:tcPr>
          <w:p>
            <w:r>
              <w:t xml:space="preserve">Head of Sales Systems</w:t>
            </w:r>
          </w:p>
        </w:tc>
        <w:tc>
          <w:tcPr>
            <w:tcW w:w="3000" w:type="dxa"/>
          </w:tcPr>
          <w:p>
            <w:r>
              <w:t xml:space="preserve">10 August 2026</w:t>
            </w:r>
          </w:p>
        </w:tc>
      </w:tr>
    </w:tbl>
  </w:body>
</w:document>
</file>