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477"/>
        <w:gridCol w:w="5163"/>
      </w:tblGrid>
      <w:tr>
        <w:tblPrEx>
          <w:tblW w:w="5000" w:type="pct"/>
          <w:jc w:val="left"/>
          <w:tblCellMar>
            <w:top w:w="0" w:type="dxa"/>
            <w:left w:w="0" w:type="dxa"/>
            <w:bottom w:w="0" w:type="dxa"/>
            <w:right w:w="0" w:type="dxa"/>
          </w:tblCellMar>
        </w:tblPrEx>
        <w:trPr>
          <w:jc w:val="left"/>
        </w:trPr>
        <w:tc>
          <w:tcPr>
            <w:tcW w:w="348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 xml:space="preserve">------- </w:t>
            </w:r>
          </w:p>
        </w:tc>
        <w:tc>
          <w:tcPr>
            <w:tcW w:w="537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8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1824/QĐ-BCT</w:t>
            </w:r>
          </w:p>
        </w:tc>
        <w:tc>
          <w:tcPr>
            <w:tcW w:w="537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KHUNG GIÁ PHÁT ĐIỆN LOẠI HÌNH NHÀ MÁY ĐIỆN GIÓ NGOÀI KHƠI NĂM 2025</w:t>
      </w:r>
      <w:bookmarkEnd w:id="1"/>
    </w:p>
    <w:p>
      <w:pPr>
        <w:bidi w:val="0"/>
        <w:spacing w:before="120" w:beforeAutospacing="0" w:after="280" w:afterAutospacing="1"/>
        <w:jc w:val="center"/>
      </w:pPr>
      <w:r>
        <w:rPr>
          <w:b/>
          <w:bCs/>
          <w:sz w:val="24"/>
          <w:rtl w:val="0"/>
        </w:rPr>
        <w:t>BỘ TRƯỞNG BỘ CÔNG THƯƠNG</w:t>
      </w:r>
    </w:p>
    <w:p>
      <w:pPr>
        <w:bidi w:val="0"/>
        <w:spacing w:before="120" w:beforeAutospacing="0" w:after="280" w:afterAutospacing="1"/>
      </w:pPr>
      <w:r>
        <w:rPr>
          <w:i/>
          <w:iCs/>
          <w:rtl w:val="0"/>
        </w:rPr>
        <w:t xml:space="preserve">Căn cứ </w:t>
      </w:r>
      <w:bookmarkStart w:id="2" w:name="tvpllink_fihxvisxtf"/>
      <w:r>
        <w:rPr>
          <w:i/>
          <w:iCs/>
          <w:rtl w:val="0"/>
        </w:rPr>
        <w:t>Luật Điện lực</w:t>
      </w:r>
      <w:bookmarkEnd w:id="2"/>
      <w:r>
        <w:rPr>
          <w:i/>
          <w:iCs/>
          <w:rtl w:val="0"/>
        </w:rPr>
        <w:t xml:space="preserve"> ngày 30 tháng 11 năm 2024;</w:t>
      </w:r>
    </w:p>
    <w:p>
      <w:pPr>
        <w:bidi w:val="0"/>
        <w:spacing w:before="120" w:beforeAutospacing="0" w:after="280" w:afterAutospacing="1"/>
      </w:pPr>
      <w:r>
        <w:rPr>
          <w:i/>
          <w:iCs/>
          <w:rtl w:val="0"/>
        </w:rPr>
        <w:t xml:space="preserve">Căn cứ Nghị định số </w:t>
      </w:r>
      <w:bookmarkStart w:id="3" w:name="tvpllink_nyajtqivur"/>
      <w:r>
        <w:rPr>
          <w:i/>
          <w:iCs/>
          <w:rtl w:val="0"/>
        </w:rPr>
        <w:t>40/2025/NĐ-CP</w:t>
      </w:r>
      <w:bookmarkEnd w:id="3"/>
      <w:r>
        <w:rPr>
          <w:i/>
          <w:iCs/>
          <w:rtl w:val="0"/>
        </w:rPr>
        <w:t xml:space="preserve"> ngày 26 tháng 02 năm 2025 của Chính phủ quy định chức năng, nhiệm vụ, quyền hạn và cơ cấu tổ chức của Bộ Công Thương;</w:t>
      </w:r>
    </w:p>
    <w:p>
      <w:pPr>
        <w:bidi w:val="0"/>
        <w:spacing w:before="120" w:beforeAutospacing="0" w:after="280" w:afterAutospacing="1"/>
      </w:pPr>
      <w:r>
        <w:rPr>
          <w:i/>
          <w:iCs/>
          <w:rtl w:val="0"/>
        </w:rPr>
        <w:t xml:space="preserve">Căn cứ Thông tư số </w:t>
      </w:r>
      <w:bookmarkStart w:id="4" w:name="tvpllink_ynurzmxzbx"/>
      <w:r>
        <w:rPr>
          <w:i/>
          <w:iCs/>
          <w:rtl w:val="0"/>
        </w:rPr>
        <w:t>09/2025/TT-BCT</w:t>
      </w:r>
      <w:bookmarkEnd w:id="4"/>
      <w:r>
        <w:rPr>
          <w:i/>
          <w:iCs/>
          <w:rtl w:val="0"/>
        </w:rPr>
        <w:t xml:space="preserve"> ngày 01 tháng 02 năm 2025 của Bộ trưởng Bộ Công Thương quy định hồ sơ, trình tự, thủ tục, phương pháp xác định, phê duyệt khung giá phát điện; quy định hồ sơ, trình tự, thủ tục xây dựng, phê duyệt khung giá nhập khẩu điện;</w:t>
      </w:r>
    </w:p>
    <w:p>
      <w:pPr>
        <w:bidi w:val="0"/>
        <w:spacing w:before="120" w:beforeAutospacing="0" w:after="280" w:afterAutospacing="1"/>
      </w:pPr>
      <w:r>
        <w:rPr>
          <w:i/>
          <w:iCs/>
          <w:rtl w:val="0"/>
        </w:rPr>
        <w:t xml:space="preserve">Căn cứ Thông tư số </w:t>
      </w:r>
      <w:bookmarkStart w:id="5" w:name="tvpllink_khtzwkykck"/>
      <w:r>
        <w:rPr>
          <w:i/>
          <w:iCs/>
          <w:rtl w:val="0"/>
        </w:rPr>
        <w:t>25/2025/TT-BCT</w:t>
      </w:r>
      <w:bookmarkEnd w:id="5"/>
      <w:r>
        <w:rPr>
          <w:i/>
          <w:iCs/>
          <w:rtl w:val="0"/>
        </w:rPr>
        <w:t xml:space="preserve"> ngày 13 tháng 5 năm 2025 của Bộ trưởng Bộ Công Thương sửa đổi bổ sung </w:t>
      </w:r>
      <w:bookmarkStart w:id="6" w:name="dc_2"/>
      <w:r>
        <w:rPr>
          <w:i/>
          <w:iCs/>
          <w:rtl w:val="0"/>
        </w:rPr>
        <w:t>Điều 3 Thông tư số 09/2025/TT-BCT</w:t>
      </w:r>
      <w:bookmarkEnd w:id="6"/>
      <w:r>
        <w:rPr>
          <w:i/>
          <w:iCs/>
          <w:rtl w:val="0"/>
        </w:rPr>
        <w:t xml:space="preserve"> ngày 01 tháng 02 năm 2025 của Bộ trưởng Bộ Công Thương quy định hồ sơ, trình tự, thủ tục, phương pháp xác định, phê duyệt khung giá phát điện; quy định hồ sơ, trình tự, thủ tục xây dựng, phê duyệt khung giá nhập khẩu điện;</w:t>
      </w:r>
    </w:p>
    <w:p>
      <w:pPr>
        <w:bidi w:val="0"/>
        <w:spacing w:before="120" w:beforeAutospacing="0" w:after="280" w:afterAutospacing="1"/>
      </w:pPr>
      <w:r>
        <w:rPr>
          <w:i/>
          <w:iCs/>
          <w:rtl w:val="0"/>
        </w:rPr>
        <w:t>Xét đề nghị của Tập đoàn Điện lực Việt Nam tại văn bản số 2516/EVN-TTĐ ngày 18 tháng 4 năm 2025 và văn bản số 3252/EVN-TTĐ ngày 23 tháng 5 năm 2025;</w:t>
      </w:r>
    </w:p>
    <w:p>
      <w:pPr>
        <w:bidi w:val="0"/>
        <w:spacing w:before="120" w:beforeAutospacing="0" w:after="280" w:afterAutospacing="1"/>
      </w:pPr>
      <w:r>
        <w:rPr>
          <w:i/>
          <w:iCs/>
          <w:rtl w:val="0"/>
        </w:rPr>
        <w:t>Theo đề nghị của Cục trưởng Cục Điện lực.</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Điều 1. Phê duyệt khung giá phát điện áp dụng cho loại hình nhà máy điện gió ngoài khơi năm 2025</w:t>
      </w:r>
      <w:bookmarkEnd w:id="7"/>
    </w:p>
    <w:p>
      <w:pPr>
        <w:bidi w:val="0"/>
        <w:spacing w:before="120" w:beforeAutospacing="0" w:after="280" w:afterAutospacing="1"/>
      </w:pPr>
      <w:r>
        <w:rPr>
          <w:rtl w:val="0"/>
        </w:rPr>
        <w:t xml:space="preserve">Mức giá tối đa (chưa bao gồm thuế giá trị gia tăng) của khung giá phát điện năm 2025 áp dụng cho loại hình nhà máy điện gió ngoài khơi quy định tại </w:t>
      </w:r>
      <w:bookmarkStart w:id="8" w:name="dc_1"/>
      <w:r>
        <w:rPr>
          <w:rtl w:val="0"/>
        </w:rPr>
        <w:t>điểm a khoản 2 Điều 1 Thông tư số 09/2025/TT-BCT</w:t>
      </w:r>
      <w:bookmarkEnd w:id="8"/>
      <w:r>
        <w:rPr>
          <w:rtl w:val="0"/>
        </w:rPr>
        <w:t xml:space="preserve"> ngày 01 tháng 02 năm 2025 của Bộ trưởng Bộ Công Thương quy định hồ sơ, trình tự, thủ tục, phương pháp xác định, phê duyệt khung giá phát điện; quy định hồ sơ, trình tự, thủ tục xây dựng, phê duyệt khung giá nhập khẩu điện, được quy định như sau:</w:t>
      </w:r>
    </w:p>
    <w:tbl>
      <w:tblPr>
        <w:tblW w:w="5000" w:type="pct"/>
        <w:jc w:val="left"/>
        <w:tblCellMar>
          <w:top w:w="0" w:type="dxa"/>
          <w:left w:w="0" w:type="dxa"/>
          <w:bottom w:w="0" w:type="dxa"/>
          <w:right w:w="0" w:type="dxa"/>
        </w:tblCellMar>
      </w:tblPr>
      <w:tblGrid>
        <w:gridCol w:w="4076"/>
        <w:gridCol w:w="1158"/>
        <w:gridCol w:w="2200"/>
        <w:gridCol w:w="1206"/>
      </w:tblGrid>
      <w:tr>
        <w:tblPrEx>
          <w:tblW w:w="5000" w:type="pct"/>
          <w:jc w:val="left"/>
          <w:tblCellMar>
            <w:top w:w="0" w:type="dxa"/>
            <w:left w:w="0" w:type="dxa"/>
            <w:bottom w:w="0" w:type="dxa"/>
            <w:right w:w="0" w:type="dxa"/>
          </w:tblCellMar>
        </w:tblPrEx>
        <w:trPr>
          <w:jc w:val="left"/>
        </w:trPr>
        <w:tc>
          <w:tcPr>
            <w:tcW w:w="235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Khu vực biển</w:t>
            </w:r>
          </w:p>
        </w:tc>
        <w:tc>
          <w:tcPr>
            <w:tcW w:w="6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Bắc Bộ</w:t>
            </w:r>
          </w:p>
        </w:tc>
        <w:tc>
          <w:tcPr>
            <w:tcW w:w="12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Nam Trung Bộ</w:t>
            </w:r>
          </w:p>
        </w:tc>
        <w:tc>
          <w:tcPr>
            <w:tcW w:w="6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Nam Bộ</w:t>
            </w:r>
          </w:p>
        </w:tc>
      </w:tr>
      <w:tr>
        <w:tblPrEx>
          <w:tblW w:w="5000" w:type="pct"/>
          <w:jc w:val="left"/>
          <w:tblCellMar>
            <w:top w:w="0" w:type="dxa"/>
            <w:left w:w="0" w:type="dxa"/>
            <w:bottom w:w="0" w:type="dxa"/>
            <w:right w:w="0" w:type="dxa"/>
          </w:tblCellMar>
        </w:tblPrEx>
        <w:trPr>
          <w:jc w:val="left"/>
        </w:trPr>
        <w:tc>
          <w:tcPr>
            <w:tcW w:w="2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Mức giá tối đa</w:t>
            </w:r>
            <w:r>
              <w:rPr>
                <w:b/>
                <w:bCs/>
                <w:rtl w:val="0"/>
              </w:rPr>
              <w:br/>
            </w:r>
            <w:r>
              <w:rPr>
                <w:b/>
                <w:bCs/>
                <w:rtl w:val="0"/>
              </w:rPr>
              <w:t>(đồng/kWh)</w:t>
            </w:r>
          </w:p>
        </w:tc>
        <w:tc>
          <w:tcPr>
            <w:tcW w:w="6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3.975,1</w:t>
            </w:r>
          </w:p>
        </w:tc>
        <w:tc>
          <w:tcPr>
            <w:tcW w:w="1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3.078,9</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3.868,5</w:t>
            </w:r>
          </w:p>
        </w:tc>
      </w:tr>
    </w:tbl>
    <w:p>
      <w:pPr>
        <w:bidi w:val="0"/>
        <w:spacing w:before="120" w:beforeAutospacing="0" w:after="280" w:afterAutospacing="1"/>
      </w:pPr>
      <w:bookmarkStart w:id="9" w:name="dieu_2"/>
      <w:r>
        <w:rPr>
          <w:b/>
          <w:bCs/>
          <w:rtl w:val="0"/>
        </w:rPr>
        <w:t>Điều 2. Tổ chức thực hiện</w:t>
      </w:r>
      <w:bookmarkEnd w:id="9"/>
    </w:p>
    <w:p>
      <w:pPr>
        <w:bidi w:val="0"/>
        <w:spacing w:before="120" w:beforeAutospacing="0" w:after="280" w:afterAutospacing="1"/>
      </w:pPr>
      <w:r>
        <w:rPr>
          <w:rtl w:val="0"/>
        </w:rPr>
        <w:t>Căn cứ khung giá phát điện quy định tại Điều 1 Quyết định này, Tập đoàn Điện lực Việt Nam và đơn vị phát điện ký kết hợp đồng mua bán điện trên cơ sở tuân thủ quy định pháp luật về phương pháp xác định giá dịch vụ phát điện do Bộ Công Thương ban hành.</w:t>
      </w:r>
    </w:p>
    <w:p>
      <w:pPr>
        <w:bidi w:val="0"/>
        <w:spacing w:before="120" w:beforeAutospacing="0" w:after="280" w:afterAutospacing="1"/>
      </w:pPr>
      <w:bookmarkStart w:id="10" w:name="dieu_3"/>
      <w:r>
        <w:rPr>
          <w:b/>
          <w:bCs/>
          <w:rtl w:val="0"/>
        </w:rPr>
        <w:t>Điều 3. Điều khoản thi hành</w:t>
      </w:r>
      <w:bookmarkEnd w:id="10"/>
    </w:p>
    <w:p>
      <w:pPr>
        <w:bidi w:val="0"/>
        <w:spacing w:before="120" w:beforeAutospacing="0" w:after="280" w:afterAutospacing="1"/>
      </w:pPr>
      <w:r>
        <w:rPr>
          <w:rtl w:val="0"/>
        </w:rPr>
        <w:t>1. Quyết định này có hiệu lực thi hành kể từ ngày ký.</w:t>
      </w:r>
    </w:p>
    <w:p>
      <w:pPr>
        <w:bidi w:val="0"/>
        <w:spacing w:before="120" w:beforeAutospacing="0" w:after="280" w:afterAutospacing="1"/>
      </w:pPr>
      <w:r>
        <w:rPr>
          <w:rtl w:val="0"/>
        </w:rPr>
        <w:t>2. Chánh Văn phòng Bộ, Cục trưởng Cục Điện lực, Vụ trưởng Vụ Pháp chế, Thủ Trưởng Các đơn vị thuộc Bộ, Tổng Giám đốc Tập đoàn Điện lực Việt Nam và Thủ trưởng các đơn vị phát điện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khoản 2 Điều 3;</w:t>
            </w:r>
            <w:r>
              <w:rPr>
                <w:sz w:val="16"/>
                <w:rtl w:val="0"/>
              </w:rPr>
              <w:br/>
            </w:r>
            <w:r>
              <w:rPr>
                <w:sz w:val="16"/>
                <w:rtl w:val="0"/>
              </w:rPr>
              <w:t>- Bộ trưởng (để báo cáo);</w:t>
            </w:r>
            <w:r>
              <w:rPr>
                <w:sz w:val="16"/>
                <w:rtl w:val="0"/>
              </w:rPr>
              <w:br/>
            </w:r>
            <w:r>
              <w:rPr>
                <w:sz w:val="16"/>
                <w:rtl w:val="0"/>
              </w:rPr>
              <w:t>- Tập đoàn Điện lực Việt Nam;</w:t>
            </w:r>
            <w:r>
              <w:rPr>
                <w:sz w:val="16"/>
                <w:rtl w:val="0"/>
              </w:rPr>
              <w:br/>
            </w:r>
            <w:r>
              <w:rPr>
                <w:sz w:val="16"/>
                <w:rtl w:val="0"/>
              </w:rPr>
              <w:t>- Lưu: VT, ĐL.</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Hoàng Long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