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C64C" w14:textId="2F44A3F1" w:rsidR="00203909" w:rsidRPr="007C638A" w:rsidRDefault="00465C68">
      <w:pPr>
        <w:pStyle w:val="Title"/>
        <w:rPr>
          <w:rFonts w:ascii="Source Sans Pro" w:hAnsi="Source Sans Pro"/>
        </w:rPr>
      </w:pPr>
      <w:r w:rsidRPr="007C638A">
        <w:rPr>
          <w:rFonts w:ascii="Source Sans Pro" w:hAnsi="Source Sans Pro"/>
        </w:rPr>
        <w:t xml:space="preserve">D.E.A.D Dataset - </w:t>
      </w:r>
      <w:r w:rsidR="00E05340" w:rsidRPr="007C638A">
        <w:rPr>
          <w:rFonts w:ascii="Source Sans Pro" w:hAnsi="Source Sans Pro"/>
        </w:rPr>
        <w:t>Data Exploration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9632C" w:rsidRPr="000A35C0" w14:paraId="41E84B69" w14:textId="77777777" w:rsidTr="005815D7">
        <w:trPr>
          <w:trHeight w:val="20"/>
        </w:trPr>
        <w:tc>
          <w:tcPr>
            <w:tcW w:w="4788" w:type="dxa"/>
          </w:tcPr>
          <w:p w14:paraId="47BA3730" w14:textId="23CB7B14" w:rsidR="0069632C" w:rsidRPr="000A35C0" w:rsidRDefault="0069632C" w:rsidP="005815D7">
            <w:pPr>
              <w:pStyle w:val="BodyText"/>
              <w:spacing w:before="60" w:after="60"/>
              <w:ind w:right="-703"/>
              <w:rPr>
                <w:b/>
                <w:bCs/>
                <w:sz w:val="22"/>
                <w:szCs w:val="22"/>
              </w:rPr>
            </w:pPr>
            <w:bookmarkStart w:id="0" w:name="customers-distribution"/>
            <w:r w:rsidRPr="000A35C0">
              <w:rPr>
                <w:b/>
                <w:bCs/>
                <w:sz w:val="22"/>
                <w:szCs w:val="22"/>
              </w:rPr>
              <w:t>Feature explored</w:t>
            </w:r>
          </w:p>
        </w:tc>
        <w:tc>
          <w:tcPr>
            <w:tcW w:w="4788" w:type="dxa"/>
          </w:tcPr>
          <w:p w14:paraId="4DE41436" w14:textId="38A7B205" w:rsidR="0069632C" w:rsidRPr="000A35C0" w:rsidRDefault="0069632C" w:rsidP="005815D7">
            <w:pPr>
              <w:pStyle w:val="BodyText"/>
              <w:spacing w:before="60" w:after="60"/>
              <w:ind w:right="-703"/>
              <w:rPr>
                <w:b/>
                <w:bCs/>
                <w:sz w:val="22"/>
                <w:szCs w:val="22"/>
              </w:rPr>
            </w:pPr>
            <w:r w:rsidRPr="000A35C0">
              <w:rPr>
                <w:b/>
                <w:bCs/>
                <w:sz w:val="22"/>
                <w:szCs w:val="22"/>
              </w:rPr>
              <w:t>Data type</w:t>
            </w:r>
          </w:p>
        </w:tc>
      </w:tr>
      <w:tr w:rsidR="0069632C" w14:paraId="5B407A4B" w14:textId="77777777" w:rsidTr="005815D7">
        <w:trPr>
          <w:trHeight w:val="20"/>
        </w:trPr>
        <w:tc>
          <w:tcPr>
            <w:tcW w:w="4788" w:type="dxa"/>
          </w:tcPr>
          <w:p w14:paraId="07A1D549" w14:textId="1E9D4125" w:rsidR="0069632C" w:rsidRDefault="00B23C1F" w:rsidP="005815D7">
            <w:pPr>
              <w:pStyle w:val="BodyText"/>
              <w:spacing w:before="60" w:after="60"/>
              <w:ind w:right="-7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Region</w:t>
            </w:r>
          </w:p>
        </w:tc>
        <w:tc>
          <w:tcPr>
            <w:tcW w:w="4788" w:type="dxa"/>
          </w:tcPr>
          <w:p w14:paraId="668018B3" w14:textId="0B529471" w:rsidR="0069632C" w:rsidRDefault="00B23C1F" w:rsidP="005815D7">
            <w:pPr>
              <w:pStyle w:val="BodyText"/>
              <w:spacing w:before="60" w:after="60"/>
              <w:ind w:right="-7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Categorical</w:t>
            </w:r>
          </w:p>
        </w:tc>
      </w:tr>
      <w:tr w:rsidR="00B23C1F" w14:paraId="5A49ABD9" w14:textId="77777777" w:rsidTr="005815D7">
        <w:trPr>
          <w:trHeight w:val="20"/>
        </w:trPr>
        <w:tc>
          <w:tcPr>
            <w:tcW w:w="4788" w:type="dxa"/>
          </w:tcPr>
          <w:p w14:paraId="4FEB775F" w14:textId="03EB6E4E" w:rsidR="00B23C1F" w:rsidRDefault="00B23C1F" w:rsidP="005815D7">
            <w:pPr>
              <w:pStyle w:val="BodyText"/>
              <w:spacing w:before="60" w:after="60"/>
              <w:ind w:right="-7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</w:t>
            </w:r>
          </w:p>
        </w:tc>
        <w:tc>
          <w:tcPr>
            <w:tcW w:w="4788" w:type="dxa"/>
          </w:tcPr>
          <w:p w14:paraId="174F5A58" w14:textId="4F3AF9A3" w:rsidR="00B23C1F" w:rsidRDefault="00B23C1F" w:rsidP="005815D7">
            <w:pPr>
              <w:pStyle w:val="BodyText"/>
              <w:spacing w:before="60" w:after="60"/>
              <w:ind w:right="-7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Categorical</w:t>
            </w:r>
          </w:p>
        </w:tc>
      </w:tr>
      <w:tr w:rsidR="0069632C" w14:paraId="27783DEE" w14:textId="77777777" w:rsidTr="005815D7">
        <w:trPr>
          <w:trHeight w:val="20"/>
        </w:trPr>
        <w:tc>
          <w:tcPr>
            <w:tcW w:w="4788" w:type="dxa"/>
          </w:tcPr>
          <w:p w14:paraId="53A08555" w14:textId="2487CC77" w:rsidR="0069632C" w:rsidRDefault="00B23C1F" w:rsidP="005815D7">
            <w:pPr>
              <w:pStyle w:val="BodyText"/>
              <w:spacing w:before="60" w:after="60"/>
              <w:ind w:right="-7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orders</w:t>
            </w:r>
          </w:p>
        </w:tc>
        <w:tc>
          <w:tcPr>
            <w:tcW w:w="4788" w:type="dxa"/>
          </w:tcPr>
          <w:p w14:paraId="5027F1E8" w14:textId="79D44659" w:rsidR="0069632C" w:rsidRDefault="00B23C1F" w:rsidP="005815D7">
            <w:pPr>
              <w:pStyle w:val="BodyText"/>
              <w:spacing w:before="60" w:after="60"/>
              <w:ind w:right="-7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</w:t>
            </w:r>
          </w:p>
        </w:tc>
      </w:tr>
      <w:tr w:rsidR="0069632C" w14:paraId="3795EE1A" w14:textId="77777777" w:rsidTr="005815D7">
        <w:trPr>
          <w:trHeight w:val="20"/>
        </w:trPr>
        <w:tc>
          <w:tcPr>
            <w:tcW w:w="4788" w:type="dxa"/>
          </w:tcPr>
          <w:p w14:paraId="4AEC9579" w14:textId="2816E59E" w:rsidR="0069632C" w:rsidRDefault="00B23C1F" w:rsidP="005815D7">
            <w:pPr>
              <w:pStyle w:val="BodyText"/>
              <w:spacing w:before="60" w:after="60"/>
              <w:ind w:right="-7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 time</w:t>
            </w:r>
          </w:p>
        </w:tc>
        <w:tc>
          <w:tcPr>
            <w:tcW w:w="4788" w:type="dxa"/>
          </w:tcPr>
          <w:p w14:paraId="712F1DC4" w14:textId="031B388C" w:rsidR="0069632C" w:rsidRDefault="00B23C1F" w:rsidP="005815D7">
            <w:pPr>
              <w:pStyle w:val="BodyText"/>
              <w:spacing w:before="60" w:after="60"/>
              <w:ind w:right="-7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</w:t>
            </w:r>
          </w:p>
        </w:tc>
      </w:tr>
      <w:tr w:rsidR="0069632C" w14:paraId="60523EEE" w14:textId="77777777" w:rsidTr="005815D7">
        <w:trPr>
          <w:trHeight w:val="20"/>
        </w:trPr>
        <w:tc>
          <w:tcPr>
            <w:tcW w:w="4788" w:type="dxa"/>
          </w:tcPr>
          <w:p w14:paraId="0DDC25B4" w14:textId="375AFB9A" w:rsidR="0069632C" w:rsidRDefault="00B23C1F" w:rsidP="005815D7">
            <w:pPr>
              <w:pStyle w:val="BodyText"/>
              <w:spacing w:before="60" w:after="60"/>
              <w:ind w:right="-7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products sold</w:t>
            </w:r>
          </w:p>
        </w:tc>
        <w:tc>
          <w:tcPr>
            <w:tcW w:w="4788" w:type="dxa"/>
          </w:tcPr>
          <w:p w14:paraId="519F1E17" w14:textId="0BD15C95" w:rsidR="0069632C" w:rsidRDefault="00B23C1F" w:rsidP="005815D7">
            <w:pPr>
              <w:pStyle w:val="BodyText"/>
              <w:spacing w:before="60" w:after="60"/>
              <w:ind w:right="-7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</w:t>
            </w:r>
          </w:p>
        </w:tc>
      </w:tr>
      <w:tr w:rsidR="00B23C1F" w14:paraId="527711EC" w14:textId="77777777" w:rsidTr="005815D7">
        <w:trPr>
          <w:trHeight w:val="20"/>
        </w:trPr>
        <w:tc>
          <w:tcPr>
            <w:tcW w:w="4788" w:type="dxa"/>
          </w:tcPr>
          <w:p w14:paraId="1C3CE00B" w14:textId="47D864C6" w:rsidR="00B23C1F" w:rsidRDefault="00B23C1F" w:rsidP="005815D7">
            <w:pPr>
              <w:pStyle w:val="BodyText"/>
              <w:spacing w:before="60" w:after="60"/>
              <w:ind w:right="-7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 of revenue per pr</w:t>
            </w:r>
            <w:r w:rsidR="000A35C0">
              <w:rPr>
                <w:sz w:val="22"/>
                <w:szCs w:val="22"/>
              </w:rPr>
              <w:t>oduct</w:t>
            </w:r>
          </w:p>
        </w:tc>
        <w:tc>
          <w:tcPr>
            <w:tcW w:w="4788" w:type="dxa"/>
          </w:tcPr>
          <w:p w14:paraId="666BD92A" w14:textId="539EDE1D" w:rsidR="00B23C1F" w:rsidRDefault="000A35C0" w:rsidP="005815D7">
            <w:pPr>
              <w:pStyle w:val="BodyText"/>
              <w:spacing w:before="60" w:after="60"/>
              <w:ind w:right="-7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</w:t>
            </w:r>
          </w:p>
        </w:tc>
      </w:tr>
    </w:tbl>
    <w:p w14:paraId="6DD1C1DD" w14:textId="77777777" w:rsidR="00DA27F6" w:rsidRDefault="00DA27F6" w:rsidP="006F0452">
      <w:pPr>
        <w:pStyle w:val="BodyText"/>
        <w:ind w:left="-567" w:right="-705"/>
        <w:rPr>
          <w:sz w:val="22"/>
          <w:szCs w:val="22"/>
        </w:rPr>
      </w:pPr>
    </w:p>
    <w:p w14:paraId="17B49F2A" w14:textId="10642AFC" w:rsidR="00CB5710" w:rsidRPr="006F0452" w:rsidRDefault="00367416" w:rsidP="006F0452">
      <w:pPr>
        <w:pStyle w:val="BodyText"/>
        <w:ind w:left="-567" w:right="-705"/>
        <w:rPr>
          <w:sz w:val="22"/>
          <w:szCs w:val="22"/>
        </w:rPr>
      </w:pPr>
      <w:r w:rsidRPr="006F0452">
        <w:rPr>
          <w:sz w:val="22"/>
          <w:szCs w:val="22"/>
        </w:rPr>
        <w:t xml:space="preserve">The regions with the most customers are </w:t>
      </w:r>
      <w:proofErr w:type="spellStart"/>
      <w:r w:rsidRPr="006F0452">
        <w:rPr>
          <w:sz w:val="22"/>
          <w:szCs w:val="22"/>
        </w:rPr>
        <w:t>Amnian</w:t>
      </w:r>
      <w:proofErr w:type="spellEnd"/>
      <w:r w:rsidRPr="006F0452">
        <w:rPr>
          <w:sz w:val="22"/>
          <w:szCs w:val="22"/>
        </w:rPr>
        <w:t xml:space="preserve"> Empire </w:t>
      </w:r>
      <w:r w:rsidR="0006037C" w:rsidRPr="006F0452">
        <w:rPr>
          <w:sz w:val="22"/>
          <w:szCs w:val="22"/>
        </w:rPr>
        <w:t xml:space="preserve"> (439 customers) (Fig 1).</w:t>
      </w:r>
      <w:r w:rsidR="00CB5710" w:rsidRPr="006F0452">
        <w:rPr>
          <w:sz w:val="22"/>
          <w:szCs w:val="22"/>
        </w:rPr>
        <w:t xml:space="preserve"> </w:t>
      </w:r>
      <w:r w:rsidR="00CB5710" w:rsidRPr="006F0452">
        <w:rPr>
          <w:sz w:val="22"/>
          <w:szCs w:val="22"/>
        </w:rPr>
        <w:t xml:space="preserve">The product type with largest number of </w:t>
      </w:r>
      <w:proofErr w:type="gramStart"/>
      <w:r w:rsidR="00CB5710" w:rsidRPr="006F0452">
        <w:rPr>
          <w:sz w:val="22"/>
          <w:szCs w:val="22"/>
        </w:rPr>
        <w:t>product</w:t>
      </w:r>
      <w:proofErr w:type="gramEnd"/>
      <w:r w:rsidR="00CB5710" w:rsidRPr="006F0452">
        <w:rPr>
          <w:sz w:val="22"/>
          <w:szCs w:val="22"/>
        </w:rPr>
        <w:t xml:space="preserve"> are adventuring equipment (670 products) (Figure </w:t>
      </w:r>
      <w:r w:rsidR="00505F27" w:rsidRPr="006F0452">
        <w:rPr>
          <w:sz w:val="22"/>
          <w:szCs w:val="22"/>
        </w:rPr>
        <w:t>2</w:t>
      </w:r>
      <w:r w:rsidR="00CB5710" w:rsidRPr="006F0452">
        <w:rPr>
          <w:sz w:val="22"/>
          <w:szCs w:val="22"/>
        </w:rPr>
        <w:t>).</w:t>
      </w:r>
      <w:r w:rsidR="006F0452" w:rsidRPr="006F0452">
        <w:rPr>
          <w:sz w:val="22"/>
          <w:szCs w:val="22"/>
        </w:rPr>
        <w:t xml:space="preserve"> </w:t>
      </w:r>
      <w:r w:rsidR="006F0452" w:rsidRPr="006F0452">
        <w:rPr>
          <w:sz w:val="22"/>
          <w:szCs w:val="22"/>
        </w:rPr>
        <w:t xml:space="preserve">There is seasonal trend in the number of monthly </w:t>
      </w:r>
      <w:proofErr w:type="gramStart"/>
      <w:r w:rsidR="006F0452" w:rsidRPr="006F0452">
        <w:rPr>
          <w:sz w:val="22"/>
          <w:szCs w:val="22"/>
        </w:rPr>
        <w:t>order</w:t>
      </w:r>
      <w:proofErr w:type="gramEnd"/>
      <w:r w:rsidR="006F0452" w:rsidRPr="006F0452">
        <w:rPr>
          <w:sz w:val="22"/>
          <w:szCs w:val="22"/>
        </w:rPr>
        <w:t>, with the trough in February and the peak around</w:t>
      </w:r>
      <w:r w:rsidR="00A321E4">
        <w:rPr>
          <w:sz w:val="22"/>
          <w:szCs w:val="22"/>
        </w:rPr>
        <w:t xml:space="preserve"> (Fig 3)</w:t>
      </w:r>
      <w:r w:rsidR="006F0452" w:rsidRPr="006F0452">
        <w:rPr>
          <w:sz w:val="22"/>
          <w:szCs w:val="22"/>
        </w:rPr>
        <w:t xml:space="preserve">. The delivery time is mostly stable over time with median of 7 days (Fig </w:t>
      </w:r>
      <w:r w:rsidR="00A321E4">
        <w:rPr>
          <w:sz w:val="22"/>
          <w:szCs w:val="22"/>
        </w:rPr>
        <w:t>4</w:t>
      </w:r>
      <w:r w:rsidR="006F0452" w:rsidRPr="006F0452">
        <w:rPr>
          <w:sz w:val="22"/>
          <w:szCs w:val="22"/>
        </w:rPr>
        <w:t>).</w:t>
      </w:r>
      <w:r w:rsidR="006F0452">
        <w:rPr>
          <w:sz w:val="22"/>
          <w:szCs w:val="22"/>
        </w:rPr>
        <w:t xml:space="preserve"> </w:t>
      </w:r>
      <w:r w:rsidR="00A321E4">
        <w:rPr>
          <w:sz w:val="22"/>
          <w:szCs w:val="22"/>
        </w:rPr>
        <w:t>The</w:t>
      </w:r>
      <w:r w:rsidR="006F0452" w:rsidRPr="006F0452">
        <w:rPr>
          <w:sz w:val="22"/>
          <w:szCs w:val="22"/>
        </w:rPr>
        <w:t xml:space="preserve"> product that was sold the most was </w:t>
      </w:r>
      <w:proofErr w:type="spellStart"/>
      <w:r w:rsidR="006F0452" w:rsidRPr="006F0452">
        <w:rPr>
          <w:sz w:val="22"/>
          <w:szCs w:val="22"/>
        </w:rPr>
        <w:t>Quarterstall</w:t>
      </w:r>
      <w:proofErr w:type="spellEnd"/>
      <w:r w:rsidR="006F0452" w:rsidRPr="006F0452">
        <w:rPr>
          <w:sz w:val="22"/>
          <w:szCs w:val="22"/>
        </w:rPr>
        <w:t xml:space="preserve"> (24855 products sold)</w:t>
      </w:r>
      <w:r w:rsidR="006F0452">
        <w:rPr>
          <w:sz w:val="22"/>
          <w:szCs w:val="22"/>
        </w:rPr>
        <w:t>, and</w:t>
      </w:r>
      <w:r w:rsidR="006F0452" w:rsidRPr="006F0452">
        <w:rPr>
          <w:sz w:val="22"/>
          <w:szCs w:val="22"/>
        </w:rPr>
        <w:t xml:space="preserve"> Broom of Flying was sold the least</w:t>
      </w:r>
      <w:r w:rsidR="00A321E4">
        <w:rPr>
          <w:sz w:val="22"/>
          <w:szCs w:val="22"/>
        </w:rPr>
        <w:t xml:space="preserve"> (Fig 5)</w:t>
      </w:r>
      <w:r w:rsidR="006F0452" w:rsidRPr="006F0452">
        <w:rPr>
          <w:sz w:val="22"/>
          <w:szCs w:val="22"/>
        </w:rPr>
        <w:t>.</w:t>
      </w:r>
      <w:r w:rsidR="008468C3">
        <w:rPr>
          <w:sz w:val="22"/>
          <w:szCs w:val="22"/>
        </w:rPr>
        <w:t xml:space="preserve"> </w:t>
      </w:r>
      <w:r w:rsidR="008468C3" w:rsidRPr="008468C3">
        <w:rPr>
          <w:sz w:val="22"/>
          <w:szCs w:val="22"/>
        </w:rPr>
        <w:t>Product “</w:t>
      </w:r>
      <w:proofErr w:type="spellStart"/>
      <w:r w:rsidR="008468C3" w:rsidRPr="008468C3">
        <w:rPr>
          <w:sz w:val="22"/>
          <w:szCs w:val="22"/>
        </w:rPr>
        <w:t>Greatsword</w:t>
      </w:r>
      <w:proofErr w:type="spellEnd"/>
      <w:r w:rsidR="008468C3" w:rsidRPr="008468C3">
        <w:rPr>
          <w:sz w:val="22"/>
          <w:szCs w:val="22"/>
        </w:rPr>
        <w:t xml:space="preserve">” brought the most yearly revenue (4.68 million CP, in 2022) (Fig </w:t>
      </w:r>
      <w:r w:rsidR="00A321E4">
        <w:rPr>
          <w:sz w:val="22"/>
          <w:szCs w:val="22"/>
        </w:rPr>
        <w:t>6</w:t>
      </w:r>
      <w:r w:rsidR="008468C3" w:rsidRPr="008468C3">
        <w:rPr>
          <w:sz w:val="22"/>
          <w:szCs w:val="22"/>
        </w:rPr>
        <w:t>).</w:t>
      </w:r>
    </w:p>
    <w:p w14:paraId="5DD7C64E" w14:textId="09EC0BE0" w:rsidR="00203909" w:rsidRPr="007C638A" w:rsidRDefault="00A321E4" w:rsidP="00A321E4">
      <w:pPr>
        <w:pStyle w:val="FirstParagraph"/>
        <w:ind w:left="-567"/>
        <w:jc w:val="left"/>
      </w:pPr>
      <w:r w:rsidRPr="007C638A">
        <w:rPr>
          <w:noProof/>
        </w:rPr>
        <w:drawing>
          <wp:anchor distT="0" distB="0" distL="114300" distR="114300" simplePos="0" relativeHeight="251658240" behindDoc="1" locked="0" layoutInCell="1" allowOverlap="1" wp14:anchorId="5DD7C668" wp14:editId="382B1884">
            <wp:simplePos x="0" y="0"/>
            <wp:positionH relativeFrom="column">
              <wp:posOffset>3166745</wp:posOffset>
            </wp:positionH>
            <wp:positionV relativeFrom="paragraph">
              <wp:posOffset>54610</wp:posOffset>
            </wp:positionV>
            <wp:extent cx="3082925" cy="2466340"/>
            <wp:effectExtent l="0" t="0" r="0" b="0"/>
            <wp:wrapTight wrapText="bothSides">
              <wp:wrapPolygon edited="0">
                <wp:start x="0" y="0"/>
                <wp:lineTo x="0" y="21467"/>
                <wp:lineTo x="21533" y="21467"/>
                <wp:lineTo x="21533" y="0"/>
                <wp:lineTo x="0" y="0"/>
              </wp:wrapPolygon>
            </wp:wrapTight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ata_explora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340" w:rsidRPr="007C638A">
        <w:rPr>
          <w:noProof/>
        </w:rPr>
        <w:drawing>
          <wp:inline distT="0" distB="0" distL="0" distR="0" wp14:anchorId="5DD7C664" wp14:editId="07D024BC">
            <wp:extent cx="3250277" cy="260022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ata_explor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21" cy="261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30598" w14:textId="7E48683C" w:rsidR="007E4CC4" w:rsidRPr="00A321E4" w:rsidRDefault="00465C68" w:rsidP="00A321E4">
      <w:pPr>
        <w:pStyle w:val="Caption"/>
        <w:ind w:left="-567" w:right="-563"/>
        <w:rPr>
          <w:rFonts w:ascii="Source Sans Pro" w:hAnsi="Source Sans Pro"/>
        </w:rPr>
      </w:pPr>
      <w:r w:rsidRPr="007C638A">
        <w:rPr>
          <w:rFonts w:ascii="Source Sans Pro" w:hAnsi="Source Sans Pro"/>
        </w:rPr>
        <w:t xml:space="preserve">Figure </w:t>
      </w:r>
      <w:r w:rsidRPr="007C638A">
        <w:rPr>
          <w:rFonts w:ascii="Source Sans Pro" w:hAnsi="Source Sans Pro"/>
        </w:rPr>
        <w:fldChar w:fldCharType="begin"/>
      </w:r>
      <w:r w:rsidRPr="007C638A">
        <w:rPr>
          <w:rFonts w:ascii="Source Sans Pro" w:hAnsi="Source Sans Pro"/>
        </w:rPr>
        <w:instrText xml:space="preserve"> SEQ Figure \* ARABIC </w:instrText>
      </w:r>
      <w:r w:rsidRPr="007C638A">
        <w:rPr>
          <w:rFonts w:ascii="Source Sans Pro" w:hAnsi="Source Sans Pro"/>
        </w:rPr>
        <w:fldChar w:fldCharType="separate"/>
      </w:r>
      <w:r w:rsidR="00C662D3">
        <w:rPr>
          <w:rFonts w:ascii="Source Sans Pro" w:hAnsi="Source Sans Pro"/>
          <w:noProof/>
        </w:rPr>
        <w:t>1</w:t>
      </w:r>
      <w:r w:rsidRPr="007C638A">
        <w:rPr>
          <w:rFonts w:ascii="Source Sans Pro" w:hAnsi="Source Sans Pro"/>
        </w:rPr>
        <w:fldChar w:fldCharType="end"/>
      </w:r>
      <w:r w:rsidRPr="007C638A">
        <w:rPr>
          <w:rFonts w:ascii="Source Sans Pro" w:hAnsi="Source Sans Pro"/>
        </w:rPr>
        <w:t>. Distribution of customers per Nation and Region</w:t>
      </w:r>
      <w:bookmarkStart w:id="1" w:name="product-distribution"/>
      <w:bookmarkEnd w:id="0"/>
      <w:r w:rsidR="00A321E4">
        <w:rPr>
          <w:rFonts w:ascii="Source Sans Pro" w:hAnsi="Source Sans Pro"/>
        </w:rPr>
        <w:t xml:space="preserve">            </w:t>
      </w:r>
      <w:r w:rsidR="00CE4C21">
        <w:t xml:space="preserve">Figure </w:t>
      </w:r>
      <w:r w:rsidR="00505F27">
        <w:t>2</w:t>
      </w:r>
      <w:r w:rsidR="00CE4C21">
        <w:t>. Distribution of D.E.A.D products</w:t>
      </w:r>
      <w:bookmarkStart w:id="2" w:name="order-distribution"/>
      <w:bookmarkEnd w:id="1"/>
    </w:p>
    <w:p w14:paraId="5C6C9CA9" w14:textId="77777777" w:rsidR="00A321E4" w:rsidRDefault="00E05340" w:rsidP="00A321E4">
      <w:pPr>
        <w:pStyle w:val="FirstParagraph"/>
        <w:jc w:val="center"/>
      </w:pPr>
      <w:r w:rsidRPr="007C638A">
        <w:rPr>
          <w:noProof/>
        </w:rPr>
        <w:lastRenderedPageBreak/>
        <w:drawing>
          <wp:inline distT="0" distB="0" distL="0" distR="0" wp14:anchorId="5DD7C66A" wp14:editId="1C18F0FB">
            <wp:extent cx="3350029" cy="2680023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ata_explora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801" cy="2747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D875B" w14:textId="2443E9C9" w:rsidR="00C662D3" w:rsidRPr="00A321E4" w:rsidRDefault="0049546E" w:rsidP="00A321E4">
      <w:pPr>
        <w:pStyle w:val="FirstParagraph"/>
        <w:jc w:val="center"/>
        <w:rPr>
          <w:i/>
          <w:iCs/>
        </w:rPr>
      </w:pPr>
      <w:r w:rsidRPr="00A321E4">
        <w:rPr>
          <w:i/>
          <w:iCs/>
        </w:rPr>
        <w:t xml:space="preserve">Figure </w:t>
      </w:r>
      <w:r w:rsidR="00A321E4" w:rsidRPr="00A321E4">
        <w:rPr>
          <w:i/>
          <w:iCs/>
        </w:rPr>
        <w:t>3</w:t>
      </w:r>
      <w:r w:rsidRPr="00A321E4">
        <w:rPr>
          <w:i/>
          <w:iCs/>
        </w:rPr>
        <w:t>. Total number of orders over time</w:t>
      </w:r>
    </w:p>
    <w:p w14:paraId="5DD7C658" w14:textId="77777777" w:rsidR="00203909" w:rsidRDefault="00E05340" w:rsidP="007E4CC4">
      <w:pPr>
        <w:pStyle w:val="BodyText"/>
        <w:jc w:val="center"/>
      </w:pPr>
      <w:r w:rsidRPr="007C638A">
        <w:rPr>
          <w:noProof/>
        </w:rPr>
        <w:drawing>
          <wp:inline distT="0" distB="0" distL="0" distR="0" wp14:anchorId="5DD7C66C" wp14:editId="23071D98">
            <wp:extent cx="3448685" cy="344868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74" cy="351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121BF" w14:textId="467B195D" w:rsidR="005C781C" w:rsidRDefault="005C781C" w:rsidP="00C662D3">
      <w:pPr>
        <w:pStyle w:val="Author"/>
      </w:pPr>
      <w:r>
        <w:t xml:space="preserve">Figure </w:t>
      </w:r>
      <w:r w:rsidR="00E05340">
        <w:t>4</w:t>
      </w:r>
      <w:r>
        <w:t xml:space="preserve">. Delivery time over time. Black line indicates median number of days, purple ribbons indicate </w:t>
      </w:r>
      <w:r w:rsidR="007E4CC4">
        <w:t>interquartile</w:t>
      </w:r>
      <w:r>
        <w:t xml:space="preserve"> </w:t>
      </w:r>
      <w:proofErr w:type="gramStart"/>
      <w:r>
        <w:t>range</w:t>
      </w:r>
      <w:proofErr w:type="gramEnd"/>
    </w:p>
    <w:p w14:paraId="480A5519" w14:textId="77777777" w:rsidR="00C662D3" w:rsidRPr="00177C25" w:rsidRDefault="00C662D3" w:rsidP="00177C25">
      <w:pPr>
        <w:pStyle w:val="BodyText"/>
      </w:pPr>
    </w:p>
    <w:p w14:paraId="5DD7C65E" w14:textId="77777777" w:rsidR="00203909" w:rsidRDefault="00E05340" w:rsidP="00C662D3">
      <w:pPr>
        <w:pStyle w:val="FirstParagraph"/>
        <w:jc w:val="center"/>
      </w:pPr>
      <w:r w:rsidRPr="007C638A">
        <w:rPr>
          <w:noProof/>
        </w:rPr>
        <w:lastRenderedPageBreak/>
        <w:drawing>
          <wp:inline distT="0" distB="0" distL="0" distR="0" wp14:anchorId="5DD7C672" wp14:editId="76911046">
            <wp:extent cx="4172989" cy="333839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Data_exploratio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19" cy="334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798A1" w14:textId="4E5B4014" w:rsidR="000C6C50" w:rsidRDefault="000C6C50" w:rsidP="00C662D3">
      <w:pPr>
        <w:pStyle w:val="Author"/>
      </w:pPr>
      <w:r>
        <w:t xml:space="preserve">Figure </w:t>
      </w:r>
      <w:r w:rsidR="00E05340">
        <w:t>5</w:t>
      </w:r>
      <w:r>
        <w:t>. Top 5 most sold and least sold products</w:t>
      </w:r>
    </w:p>
    <w:p w14:paraId="0FC3AC14" w14:textId="3BF8861F" w:rsidR="00C662D3" w:rsidRPr="00A321E4" w:rsidRDefault="00C662D3" w:rsidP="00A321E4">
      <w:pPr>
        <w:rPr>
          <w:rFonts w:ascii="Source Sans Pro" w:hAnsi="Source Sans Pro"/>
        </w:rPr>
      </w:pPr>
    </w:p>
    <w:p w14:paraId="5DD7C662" w14:textId="77777777" w:rsidR="00203909" w:rsidRDefault="00E05340" w:rsidP="00C662D3">
      <w:pPr>
        <w:pStyle w:val="BodyText"/>
        <w:jc w:val="center"/>
      </w:pPr>
      <w:r w:rsidRPr="007C638A">
        <w:rPr>
          <w:noProof/>
        </w:rPr>
        <w:drawing>
          <wp:inline distT="0" distB="0" distL="0" distR="0" wp14:anchorId="5DD7C676" wp14:editId="5E352B6F">
            <wp:extent cx="3882044" cy="310563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Data_exploration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91" cy="311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0F773" w14:textId="6F80605F" w:rsidR="00C662D3" w:rsidRPr="007C638A" w:rsidRDefault="00C662D3" w:rsidP="00C662D3">
      <w:pPr>
        <w:pStyle w:val="Author"/>
      </w:pPr>
      <w:r>
        <w:t xml:space="preserve">Figure </w:t>
      </w:r>
      <w:r w:rsidR="00E05340">
        <w:t>6</w:t>
      </w:r>
      <w:r>
        <w:t xml:space="preserve">. Top 3 products that brought highest revenue per </w:t>
      </w:r>
      <w:proofErr w:type="gramStart"/>
      <w:r>
        <w:t>year</w:t>
      </w:r>
      <w:proofErr w:type="gramEnd"/>
    </w:p>
    <w:p w14:paraId="5DD7C663" w14:textId="6B78771E" w:rsidR="00203909" w:rsidRPr="007C638A" w:rsidRDefault="00203909" w:rsidP="00E03026">
      <w:pPr>
        <w:pStyle w:val="Compact"/>
      </w:pPr>
    </w:p>
    <w:bookmarkEnd w:id="2"/>
    <w:sectPr w:rsidR="00203909" w:rsidRPr="007C638A" w:rsidSect="003D6592">
      <w:headerReference w:type="default" r:id="rId14"/>
      <w:pgSz w:w="12240" w:h="15840"/>
      <w:pgMar w:top="1740" w:right="1440" w:bottom="57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7C67C" w14:textId="77777777" w:rsidR="00E05340" w:rsidRDefault="00E05340">
      <w:pPr>
        <w:spacing w:after="0"/>
      </w:pPr>
      <w:r>
        <w:separator/>
      </w:r>
    </w:p>
  </w:endnote>
  <w:endnote w:type="continuationSeparator" w:id="0">
    <w:p w14:paraId="5DD7C67E" w14:textId="77777777" w:rsidR="00E05340" w:rsidRDefault="00E05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C678" w14:textId="77777777" w:rsidR="00203909" w:rsidRDefault="00E05340">
      <w:r>
        <w:separator/>
      </w:r>
    </w:p>
  </w:footnote>
  <w:footnote w:type="continuationSeparator" w:id="0">
    <w:p w14:paraId="5DD7C679" w14:textId="77777777" w:rsidR="00203909" w:rsidRDefault="00E05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5403" w14:textId="436784EA" w:rsidR="002728BC" w:rsidRPr="00B84624" w:rsidRDefault="002728BC" w:rsidP="00B84624">
    <w:pPr>
      <w:pStyle w:val="Header"/>
      <w:tabs>
        <w:tab w:val="clear" w:pos="4513"/>
        <w:tab w:val="clear" w:pos="9026"/>
        <w:tab w:val="right" w:pos="9072"/>
      </w:tabs>
      <w:rPr>
        <w:rFonts w:ascii="Source Sans Pro" w:hAnsi="Source Sans Pro"/>
      </w:rPr>
    </w:pPr>
    <w:r w:rsidRPr="00B84624">
      <w:rPr>
        <w:rFonts w:ascii="Source Sans Pro" w:hAnsi="Source Sans Pro"/>
      </w:rPr>
      <w:t xml:space="preserve">Student: </w:t>
    </w:r>
    <w:r w:rsidR="00B84624" w:rsidRPr="00B84624">
      <w:rPr>
        <w:rFonts w:ascii="Source Sans Pro" w:hAnsi="Source Sans Pro"/>
      </w:rPr>
      <w:t>Pham Hien Trang Tu</w:t>
    </w:r>
    <w:r w:rsidR="00B84624" w:rsidRPr="00B84624">
      <w:rPr>
        <w:rFonts w:ascii="Source Sans Pro" w:hAnsi="Source Sans Pro"/>
      </w:rPr>
      <w:tab/>
      <w:t>Visualization in Data Science</w:t>
    </w:r>
  </w:p>
  <w:p w14:paraId="4747A89B" w14:textId="1C9CF031" w:rsidR="00E15BAA" w:rsidRDefault="00B84624">
    <w:pPr>
      <w:pStyle w:val="Header"/>
      <w:rPr>
        <w:rFonts w:ascii="Source Sans Pro" w:hAnsi="Source Sans Pro"/>
      </w:rPr>
    </w:pPr>
    <w:r w:rsidRPr="00B84624">
      <w:rPr>
        <w:rFonts w:ascii="Source Sans Pro" w:hAnsi="Source Sans Pro"/>
      </w:rPr>
      <w:t>Student ID: 262672</w:t>
    </w:r>
    <w:r w:rsidR="00E15BAA">
      <w:rPr>
        <w:rFonts w:ascii="Source Sans Pro" w:hAnsi="Source Sans Pro"/>
      </w:rPr>
      <w:tab/>
    </w:r>
    <w:r w:rsidR="00E15BAA">
      <w:rPr>
        <w:rFonts w:ascii="Source Sans Pro" w:hAnsi="Source Sans Pro"/>
      </w:rPr>
      <w:tab/>
    </w:r>
    <w:r w:rsidR="00E15BAA">
      <w:rPr>
        <w:rFonts w:ascii="Source Sans Pro" w:hAnsi="Source Sans Pro"/>
      </w:rPr>
      <w:t>Academic year 2023-2024</w:t>
    </w:r>
  </w:p>
  <w:p w14:paraId="6F5BCAD3" w14:textId="790B2B23" w:rsidR="00B84624" w:rsidRPr="00B84624" w:rsidRDefault="00E15BAA">
    <w:pPr>
      <w:pStyle w:val="Header"/>
      <w:rPr>
        <w:rFonts w:ascii="Source Sans Pro" w:hAnsi="Source Sans Pro"/>
      </w:rPr>
    </w:pPr>
    <w:r>
      <w:rPr>
        <w:rFonts w:ascii="Source Sans Pro" w:hAnsi="Source Sans Pro"/>
      </w:rPr>
      <w:t>Group: 32</w:t>
    </w:r>
    <w:r w:rsidR="00B84624">
      <w:rPr>
        <w:rFonts w:ascii="Source Sans Pro" w:hAnsi="Source Sans Pro"/>
      </w:rPr>
      <w:tab/>
    </w:r>
    <w:r>
      <w:rPr>
        <w:rFonts w:ascii="Source Sans Pro" w:hAnsi="Source Sans Pro"/>
      </w:rPr>
      <w:tab/>
      <w:t>Hasselt University</w:t>
    </w:r>
    <w:r w:rsidR="00B84624">
      <w:rPr>
        <w:rFonts w:ascii="Source Sans Pro" w:hAnsi="Source Sans Pr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3BC89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C4A68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30165675">
    <w:abstractNumId w:val="0"/>
  </w:num>
  <w:num w:numId="2" w16cid:durableId="1415006459">
    <w:abstractNumId w:val="1"/>
  </w:num>
  <w:num w:numId="3" w16cid:durableId="329019931">
    <w:abstractNumId w:val="1"/>
  </w:num>
  <w:num w:numId="4" w16cid:durableId="2132017298">
    <w:abstractNumId w:val="1"/>
  </w:num>
  <w:num w:numId="5" w16cid:durableId="1143961666">
    <w:abstractNumId w:val="1"/>
  </w:num>
  <w:num w:numId="6" w16cid:durableId="1445467740">
    <w:abstractNumId w:val="1"/>
  </w:num>
  <w:num w:numId="7" w16cid:durableId="1281035222">
    <w:abstractNumId w:val="1"/>
  </w:num>
  <w:num w:numId="8" w16cid:durableId="880093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909"/>
    <w:rsid w:val="0006037C"/>
    <w:rsid w:val="000A35C0"/>
    <w:rsid w:val="000C6C50"/>
    <w:rsid w:val="001423CA"/>
    <w:rsid w:val="00177C25"/>
    <w:rsid w:val="00203909"/>
    <w:rsid w:val="0021576E"/>
    <w:rsid w:val="002728BC"/>
    <w:rsid w:val="002B7013"/>
    <w:rsid w:val="002C0BA9"/>
    <w:rsid w:val="0033308C"/>
    <w:rsid w:val="00333E25"/>
    <w:rsid w:val="00367416"/>
    <w:rsid w:val="003D2E2B"/>
    <w:rsid w:val="003D6592"/>
    <w:rsid w:val="003D6E42"/>
    <w:rsid w:val="003F3824"/>
    <w:rsid w:val="00453EEE"/>
    <w:rsid w:val="00465C68"/>
    <w:rsid w:val="0049546E"/>
    <w:rsid w:val="00505F27"/>
    <w:rsid w:val="005815D7"/>
    <w:rsid w:val="005B34D8"/>
    <w:rsid w:val="005C781C"/>
    <w:rsid w:val="005D6B07"/>
    <w:rsid w:val="006376A3"/>
    <w:rsid w:val="006417DD"/>
    <w:rsid w:val="0069632C"/>
    <w:rsid w:val="006E08C4"/>
    <w:rsid w:val="006F0452"/>
    <w:rsid w:val="006F7C39"/>
    <w:rsid w:val="00706CF7"/>
    <w:rsid w:val="007B1FCB"/>
    <w:rsid w:val="007C638A"/>
    <w:rsid w:val="007D415A"/>
    <w:rsid w:val="007E2AC7"/>
    <w:rsid w:val="007E4CC4"/>
    <w:rsid w:val="007F05B0"/>
    <w:rsid w:val="00804621"/>
    <w:rsid w:val="0081625D"/>
    <w:rsid w:val="008468C3"/>
    <w:rsid w:val="008D7B45"/>
    <w:rsid w:val="00922B17"/>
    <w:rsid w:val="00937783"/>
    <w:rsid w:val="009436AA"/>
    <w:rsid w:val="00985786"/>
    <w:rsid w:val="00993C64"/>
    <w:rsid w:val="009B1140"/>
    <w:rsid w:val="009F1F47"/>
    <w:rsid w:val="00A321E4"/>
    <w:rsid w:val="00AB159D"/>
    <w:rsid w:val="00B10B92"/>
    <w:rsid w:val="00B16062"/>
    <w:rsid w:val="00B16FC1"/>
    <w:rsid w:val="00B23C1F"/>
    <w:rsid w:val="00B84624"/>
    <w:rsid w:val="00C662D3"/>
    <w:rsid w:val="00CB5710"/>
    <w:rsid w:val="00CC2BC2"/>
    <w:rsid w:val="00CD1F3A"/>
    <w:rsid w:val="00CE4C21"/>
    <w:rsid w:val="00CE50C2"/>
    <w:rsid w:val="00DA27F6"/>
    <w:rsid w:val="00DE737A"/>
    <w:rsid w:val="00DF4433"/>
    <w:rsid w:val="00E03026"/>
    <w:rsid w:val="00E05340"/>
    <w:rsid w:val="00E15BAA"/>
    <w:rsid w:val="00E6774F"/>
    <w:rsid w:val="00E75CF4"/>
    <w:rsid w:val="00F646F3"/>
    <w:rsid w:val="00FC737A"/>
    <w:rsid w:val="00FD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C64C"/>
  <w15:docId w15:val="{267AD974-8DC7-924B-88BB-AD2F268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37783"/>
    <w:pPr>
      <w:spacing w:before="180" w:after="180"/>
      <w:jc w:val="both"/>
    </w:pPr>
    <w:rPr>
      <w:rFonts w:ascii="Source Sans Pro" w:hAnsi="Source Sans Pro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04621"/>
    <w:pPr>
      <w:keepNext/>
      <w:keepLines/>
      <w:jc w:val="center"/>
    </w:pPr>
    <w:rPr>
      <w:rFonts w:ascii="Source Sans Pro" w:hAnsi="Source Sans Pro"/>
      <w:i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rsid w:val="002728B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28BC"/>
  </w:style>
  <w:style w:type="paragraph" w:styleId="Footer">
    <w:name w:val="footer"/>
    <w:basedOn w:val="Normal"/>
    <w:link w:val="FooterChar"/>
    <w:rsid w:val="002728B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28BC"/>
  </w:style>
  <w:style w:type="table" w:styleId="TableGrid">
    <w:name w:val="Table Grid"/>
    <w:basedOn w:val="TableNormal"/>
    <w:rsid w:val="006963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5A5004-060A-F84F-A7D3-698ECB62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Trang Hien</dc:creator>
  <cp:keywords/>
  <cp:lastModifiedBy>Trang Hien</cp:lastModifiedBy>
  <cp:revision>3</cp:revision>
  <dcterms:created xsi:type="dcterms:W3CDTF">2024-03-04T16:54:00Z</dcterms:created>
  <dcterms:modified xsi:type="dcterms:W3CDTF">2024-03-04T16:58:00Z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