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91.png" ContentType="image/png"/>
  <Override PartName="/word/media/rId95.png" ContentType="image/png"/>
  <Override PartName="/word/media/rId50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5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SCCS</w:t>
      </w:r>
      <w:r>
        <w:t xml:space="preserve"> </w:t>
      </w:r>
      <w:r>
        <w:t xml:space="preserve">Risk</w:t>
      </w:r>
      <w:r>
        <w:t xml:space="preserve"> </w:t>
      </w:r>
      <w:r>
        <w:t xml:space="preserve">Window</w:t>
      </w:r>
      <w:r>
        <w:t xml:space="preserve"> </w:t>
      </w:r>
      <w:r>
        <w:t xml:space="preserve">Scanning</w:t>
      </w:r>
    </w:p>
    <w:p>
      <w:pPr>
        <w:pStyle w:val="Subtitle"/>
      </w:pPr>
      <w:r>
        <w:t xml:space="preserve">Descriptive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Trang</w:t>
      </w:r>
      <w:r>
        <w:t xml:space="preserve"> </w:t>
      </w:r>
      <w:r>
        <w:t xml:space="preserve">Tu</w:t>
      </w:r>
      <w:r>
        <w:t xml:space="preserve"> </w:t>
      </w:r>
      <w:r>
        <w:t xml:space="preserve">-</w:t>
      </w:r>
      <w:r>
        <w:t xml:space="preserve"> </w:t>
      </w:r>
      <w:r>
        <w:t xml:space="preserve">Albert</w:t>
      </w:r>
      <w:r>
        <w:t xml:space="preserve"> </w:t>
      </w:r>
      <w:r>
        <w:t xml:space="preserve">Chuang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rPr>
          <w:rStyle w:val="VerbatimChar"/>
        </w:rPr>
        <w:t xml:space="preserve">here() starts at /Users/tranghien/Library/CloudStorage/OneDrive-UniversiteitUtrecht/My_PhD/Research/4_SCCS_Focal_Window/Analysis/SCCS_risk_window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'lubridate'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date, intersect, setdiff, union</w:t>
      </w:r>
    </w:p>
    <w:p>
      <w:pPr>
        <w:pStyle w:val="SourceCode"/>
      </w:pPr>
      <w:r>
        <w:rPr>
          <w:rStyle w:val="VerbatimChar"/>
        </w:rPr>
        <w:t xml:space="preserve">Check the structure of imported files:</w:t>
      </w:r>
    </w:p>
    <w:p>
      <w:pPr>
        <w:pStyle w:val="SourceCode"/>
      </w:pPr>
      <w:r>
        <w:rPr>
          <w:rStyle w:val="VerbatimChar"/>
        </w:rPr>
        <w:t xml:space="preserve">List of 7</w:t>
      </w:r>
      <w:r>
        <w:br/>
      </w:r>
      <w:r>
        <w:rPr>
          <w:rStyle w:val="VerbatimChar"/>
        </w:rPr>
        <w:t xml:space="preserve"> $ individual     :'data.frame':    166 obs. of  15 variables:</w:t>
      </w:r>
      <w:r>
        <w:br/>
      </w:r>
      <w:r>
        <w:rPr>
          <w:rStyle w:val="VerbatimChar"/>
        </w:rPr>
        <w:t xml:space="preserve"> $ myo_sccs       :'data.frame':    16 obs. of  21 variables:</w:t>
      </w:r>
      <w:r>
        <w:br/>
      </w:r>
      <w:r>
        <w:rPr>
          <w:rStyle w:val="VerbatimChar"/>
        </w:rPr>
        <w:t xml:space="preserve"> $ pe_sccs        :'data.frame':    62 obs. of  21 variables:</w:t>
      </w:r>
      <w:r>
        <w:br/>
      </w:r>
      <w:r>
        <w:rPr>
          <w:rStyle w:val="VerbatimChar"/>
        </w:rPr>
        <w:t xml:space="preserve"> $ thrc_sccs      :'data.frame':    9 obs. of  21 variables:</w:t>
      </w:r>
      <w:r>
        <w:br/>
      </w:r>
      <w:r>
        <w:rPr>
          <w:rStyle w:val="VerbatimChar"/>
        </w:rPr>
        <w:t xml:space="preserve"> $ covid_infection:'data.frame':    49 obs. of  2 variables:</w:t>
      </w:r>
      <w:r>
        <w:br/>
      </w:r>
      <w:r>
        <w:rPr>
          <w:rStyle w:val="VerbatimChar"/>
        </w:rPr>
        <w:t xml:space="preserve"> $ comorb_stat    :'data.frame':    166 obs. of  6 variables:</w:t>
      </w:r>
      <w:r>
        <w:br/>
      </w:r>
      <w:r>
        <w:rPr>
          <w:rStyle w:val="VerbatimChar"/>
        </w:rPr>
        <w:t xml:space="preserve"> $ covid_vacc_wide:'data.frame':    98 obs. of  5 variables:</w:t>
      </w:r>
    </w:p>
    <w:bookmarkStart w:id="61" w:name="distributions-of-exposures-and-outcomes"/>
    <w:p>
      <w:pPr>
        <w:pStyle w:val="Heading2"/>
      </w:pPr>
      <w:r>
        <w:t xml:space="preserve">Distributions of exposures and outcomes</w:t>
      </w:r>
    </w:p>
    <w:bookmarkStart w:id="32" w:name="X6c9844996be14ca2fa2b2ea20620f8401647490"/>
    <w:p>
      <w:pPr>
        <w:pStyle w:val="Heading3"/>
      </w:pPr>
      <w:r>
        <w:t xml:space="preserve">Distribution of outcome events over the observation period: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event_count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coun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Monthly event counts by outcome</w:t>
            </w:r>
          </w:p>
          <w:bookmarkEnd w:id="2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event_count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count-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Monthly event counts by outcome</w:t>
            </w:r>
          </w:p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event_count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count-3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Monthly event counts by outcome</w:t>
            </w:r>
          </w:p>
          <w:bookmarkEnd w:id="31"/>
        </w:tc>
      </w:tr>
    </w:tbl>
    <w:bookmarkEnd w:id="32"/>
    <w:bookmarkStart w:id="49" w:name="distribution-of-vacc-date"/>
    <w:p>
      <w:pPr>
        <w:pStyle w:val="Heading3"/>
      </w:pPr>
      <w:r>
        <w:t xml:space="preserve">Distribution of vacc date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vacc_count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Monthly vaccination counts by vaccine brand and dose</w:t>
            </w:r>
          </w:p>
          <w:bookmarkEnd w:id="3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vacc_count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Monthly vaccination counts by vaccine brand and dose</w:t>
            </w:r>
          </w:p>
          <w:bookmarkEnd w:id="4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vacc_count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Monthly vaccination counts by vaccine brand and dose</w:t>
            </w:r>
          </w:p>
          <w:bookmarkEnd w:id="4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vacc_count-4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Monthly vaccination counts by vaccine brand and dose</w:t>
            </w:r>
          </w:p>
          <w:bookmarkEnd w:id="48"/>
        </w:tc>
      </w:tr>
    </w:tbl>
    <w:bookmarkEnd w:id="49"/>
    <w:bookmarkStart w:id="54" w:name="dosing-interval"/>
    <w:p>
      <w:pPr>
        <w:pStyle w:val="Heading3"/>
      </w:pPr>
      <w:r>
        <w:t xml:space="preserve">Dosing interval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bnt_interval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chad_interval</w:t>
      </w:r>
      <w:r>
        <w:t xml:space="preserve">: interval between vaccine dose 1 and the earliest of (dose 2, end of observation).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bnt2_to_end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chad2_to_end</w:t>
      </w:r>
      <w:r>
        <w:t xml:space="preserve">: interval between dose 2 and end of observation.</w:t>
      </w:r>
    </w:p>
    <w:p>
      <w:pPr>
        <w:pStyle w:val="SourceCode"/>
      </w:pPr>
      <w:r>
        <w:rPr>
          <w:rStyle w:val="VerbatimChar"/>
        </w:rPr>
        <w:t xml:space="preserve">  bnt_interval      bnt2_to_end      chad_interval      chad2_to_end    </w:t>
      </w:r>
      <w:r>
        <w:br/>
      </w:r>
      <w:r>
        <w:rPr>
          <w:rStyle w:val="VerbatimChar"/>
        </w:rPr>
        <w:t xml:space="preserve"> Min.   :-2677.0   Min.   :-2705.0   Min.   :-1907.0   Min.   :-2355.0  </w:t>
      </w:r>
      <w:r>
        <w:br/>
      </w:r>
      <w:r>
        <w:rPr>
          <w:rStyle w:val="VerbatimChar"/>
        </w:rPr>
        <w:t xml:space="preserve"> 1st Qu.: -751.0   1st Qu.: -482.0   1st Qu.: -460.8   1st Qu.:-1452.5  </w:t>
      </w:r>
      <w:r>
        <w:br/>
      </w:r>
      <w:r>
        <w:rPr>
          <w:rStyle w:val="VerbatimChar"/>
        </w:rPr>
        <w:t xml:space="preserve"> Median :   68.5   Median : -213.5   Median :  -78.5   Median : -230.5  </w:t>
      </w:r>
      <w:r>
        <w:br/>
      </w:r>
      <w:r>
        <w:rPr>
          <w:rStyle w:val="VerbatimChar"/>
        </w:rPr>
        <w:t xml:space="preserve"> Mean   : -279.9   Mean   : -464.9   Mean   : -257.8   Mean   : -603.1  </w:t>
      </w:r>
      <w:r>
        <w:br/>
      </w:r>
      <w:r>
        <w:rPr>
          <w:rStyle w:val="VerbatimChar"/>
        </w:rPr>
        <w:t xml:space="preserve"> 3rd Qu.:  324.8   3rd Qu.:  -37.0   3rd Qu.:  415.8   3rd Qu.:  -29.0  </w:t>
      </w:r>
      <w:r>
        <w:br/>
      </w:r>
      <w:r>
        <w:rPr>
          <w:rStyle w:val="VerbatimChar"/>
        </w:rPr>
        <w:t xml:space="preserve"> Max.   :  824.0   Max.   :  646.0   Max.   :  737.0   Max.   :  399.0  </w:t>
      </w:r>
      <w:r>
        <w:br/>
      </w:r>
      <w:r>
        <w:rPr>
          <w:rStyle w:val="VerbatimChar"/>
        </w:rPr>
        <w:t xml:space="preserve"> NA's   :44        NA's   :48        NA's   :74        NA's   :70     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dose-interval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dose-interval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Interval in days between dose 1 and dose 2, and between dose 2 and end of observation</w:t>
            </w:r>
          </w:p>
          <w:bookmarkEnd w:id="53"/>
        </w:tc>
      </w:tr>
    </w:tbl>
    <w:bookmarkEnd w:id="54"/>
    <w:bookmarkStart w:id="59" w:name="distribution-of-1st-covid-19-infection"/>
    <w:p>
      <w:pPr>
        <w:pStyle w:val="Heading3"/>
      </w:pPr>
      <w:r>
        <w:t xml:space="preserve">Distribution of 1st COVID-19 infection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inf_count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inf_count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Monthly incidence of COVID-19 infection</w:t>
            </w:r>
          </w:p>
          <w:bookmarkEnd w:id="58"/>
        </w:tc>
      </w:tr>
    </w:tbl>
    <w:bookmarkEnd w:id="59"/>
    <w:bookmarkStart w:id="60" w:name="X742d0c7de4599b46b44691f90af8f9d24bc07db"/>
    <w:p>
      <w:pPr>
        <w:pStyle w:val="Heading3"/>
      </w:pPr>
      <w:r>
        <w:t xml:space="preserve">Number of vaccinated cases (events could occur before or after vaccination)</w:t>
      </w:r>
    </w:p>
    <w:p>
      <w:pPr>
        <w:pStyle w:val="SourceCode"/>
      </w:pPr>
      <w:r>
        <w:rPr>
          <w:rStyle w:val="VerbatimChar"/>
        </w:rPr>
        <w:t xml:space="preserve">Myocarditis (N cases =  16 )</w:t>
      </w:r>
    </w:p>
    <w:p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1         8         9          3          2</w:t>
      </w:r>
    </w:p>
    <w:p>
      <w:pPr>
        <w:pStyle w:val="SourceCode"/>
      </w:pPr>
      <w:r>
        <w:rPr>
          <w:rStyle w:val="VerbatimChar"/>
        </w:rPr>
        <w:t xml:space="preserve">PE (N cases =  62 )</w:t>
      </w:r>
    </w:p>
    <w:p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1        24        21         16         14</w:t>
      </w:r>
    </w:p>
    <w:p>
      <w:pPr>
        <w:pStyle w:val="SourceCode"/>
      </w:pPr>
      <w:r>
        <w:rPr>
          <w:rStyle w:val="VerbatimChar"/>
        </w:rPr>
        <w:t xml:space="preserve">Thrombocytopenia (N cases =  9 )</w:t>
      </w:r>
    </w:p>
    <w:p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1         2         2          2          2</w:t>
      </w:r>
    </w:p>
    <w:bookmarkEnd w:id="60"/>
    <w:bookmarkEnd w:id="61"/>
    <w:bookmarkStart w:id="100" w:name="check-assumptions-of-sccs-model"/>
    <w:p>
      <w:pPr>
        <w:pStyle w:val="Heading2"/>
      </w:pPr>
      <w:r>
        <w:t xml:space="preserve">Check assumptions of SCCS model</w:t>
      </w:r>
    </w:p>
    <w:bookmarkStart w:id="74" w:name="event-dependent-observation-period"/>
    <w:p>
      <w:pPr>
        <w:pStyle w:val="Heading3"/>
      </w:pPr>
      <w:r>
        <w:t xml:space="preserve">Event-dependent observation period</w:t>
      </w:r>
    </w:p>
    <w:p>
      <w:pPr>
        <w:pStyle w:val="Compact"/>
        <w:numPr>
          <w:ilvl w:val="0"/>
          <w:numId w:val="1002"/>
        </w:numPr>
      </w:pPr>
      <w:r>
        <w:t xml:space="preserve">histogram of time from event until end of observation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event_to_cens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cens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Distribution of time from event to end of follow-up</w:t>
            </w:r>
          </w:p>
          <w:bookmarkEnd w:id="6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event_to_cens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cens-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Distribution of time from event to end of follow-up</w:t>
            </w:r>
          </w:p>
          <w:bookmarkEnd w:id="6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event_to_cens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cens-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Distribution of time from event to end of follow-up</w:t>
            </w:r>
          </w:p>
          <w:bookmarkEnd w:id="73"/>
        </w:tc>
      </w:tr>
    </w:tbl>
    <w:bookmarkEnd w:id="74"/>
    <w:bookmarkStart w:id="99" w:name="event-dependent-exposure"/>
    <w:p>
      <w:pPr>
        <w:pStyle w:val="Heading3"/>
      </w:pPr>
      <w:r>
        <w:t xml:space="preserve">Event-dependent exposure</w:t>
      </w:r>
    </w:p>
    <w:p>
      <w:pPr>
        <w:pStyle w:val="Compact"/>
        <w:numPr>
          <w:ilvl w:val="0"/>
          <w:numId w:val="1003"/>
        </w:numPr>
      </w:pPr>
      <w:r>
        <w:t xml:space="preserve">Time interval between the start of each exposure and the event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event_to_exp-1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exp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Number of events in exposed cases by time since exposure, for investigating event-dependent exposure</w:t>
            </w:r>
          </w:p>
          <w:bookmarkEnd w:id="7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event_to_exp-2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exp-2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Number of events in exposed cases by time since exposure, for investigating event-dependent exposure</w:t>
            </w:r>
          </w:p>
          <w:bookmarkEnd w:id="8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event_to_exp-3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exp-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Number of events in exposed cases by time since exposure, for investigating event-dependent exposure</w:t>
            </w:r>
          </w:p>
          <w:bookmarkEnd w:id="86"/>
        </w:tc>
      </w:tr>
    </w:tbl>
    <w:p>
      <w:pPr>
        <w:pStyle w:val="Compact"/>
        <w:numPr>
          <w:ilvl w:val="0"/>
          <w:numId w:val="1004"/>
        </w:numPr>
      </w:pPr>
      <w:r>
        <w:t xml:space="preserve">Centred observation plots to help interpret the centred event plot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centred_obs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centred_obs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Centred observation plots: number of exposed cases under observation by time since exposure</w:t>
            </w:r>
          </w:p>
          <w:bookmarkEnd w:id="9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centred_obs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centred_obs-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Centred observation plots: number of exposed cases under observation by time since exposure</w:t>
            </w:r>
          </w:p>
          <w:bookmarkEnd w:id="9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centred_obs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centred_obs-3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18: Centred observation plots: number of exposed cases under observation by time since exposure</w:t>
            </w:r>
          </w:p>
          <w:bookmarkEnd w:id="98"/>
        </w:tc>
      </w:tr>
    </w:tbl>
    <w:p>
      <w:pPr>
        <w:pStyle w:val="BodyText"/>
      </w:pPr>
      <w:r>
        <w:t xml:space="preserve">The centred observation plot reflects design constraints: number of exposed cases that are under observation at a given time point (the hypothetical distribution of event relative to exposure if there is no event-dependent exposure).</w:t>
      </w:r>
    </w:p>
    <w:bookmarkEnd w:id="99"/>
    <w:bookmarkEnd w:id="100"/>
    <w:bookmarkStart w:id="102" w:name="X6e955f89fdaeb402de34248a4d5d7878d8e64d6"/>
    <w:p>
      <w:pPr>
        <w:pStyle w:val="Heading2"/>
      </w:pPr>
      <w:r>
        <w:t xml:space="preserve">Baseline characteristics of cases (per outcome)</w:t>
      </w:r>
    </w:p>
    <w:p>
      <w:pPr>
        <w:pStyle w:val="Compact"/>
        <w:numPr>
          <w:ilvl w:val="0"/>
          <w:numId w:val="1005"/>
        </w:numPr>
      </w:pPr>
      <w:r>
        <w:t xml:space="preserve">Baseline characteristics of myocarditis cases:</w:t>
      </w:r>
    </w:p>
    <w:p>
      <w:pPr>
        <w:pStyle w:val="SourceCode"/>
      </w:pPr>
      <w:r>
        <w:rPr>
          <w:rStyle w:val="VerbatimChar"/>
        </w:rPr>
        <w:t xml:space="preserve">Warning: Use of .data in tidyselect expressions was deprecated in tidyselect 1.2.0.</w:t>
      </w:r>
      <w:r>
        <w:br/>
      </w:r>
      <w:r>
        <w:rPr>
          <w:rStyle w:val="VerbatimChar"/>
        </w:rPr>
        <w:t xml:space="preserve">ℹ Please use `all_of(var)` (or `any_of(var)`) instead of `.data[[var]]`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baselin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Baseline characteristics of cases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152"/>
              <w:gridCol w:w="1633"/>
              <w:gridCol w:w="2636"/>
              <w:gridCol w:w="2391"/>
            </w:tblGrid>
            <w:tr>
              <w:trPr>
                <w:trHeight w:val="617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  <w:t xml:space="preserve">Myocarditis (N = 16)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  <w:t xml:space="preserve">Pulmonary embolism (N = 62)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z w:val="22"/>
                      <w:szCs w:val="22"/>
                      <w:color w:val="000000"/>
                    </w:rPr>
                    <w:t xml:space="preserve">Thrombocytopenia (N = 9)</w:t>
                  </w:r>
                </w:p>
              </w:tc>
            </w:tr>
            <w:tr>
              <w:trPr>
                <w:trHeight w:val="621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Age, median (IQR)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52 (45–60)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79 (65–89)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85 (80–90)</w:t>
                  </w:r>
                </w:p>
              </w:tc>
            </w:tr>
            <w:tr>
              <w:trPr>
                <w:trHeight w:val="620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Age, missing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16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Male,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11 (68.8%)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22 (35.5%)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 (33.3%)</w:t>
                  </w:r>
                </w:p>
              </w:tc>
            </w:tr>
            <w:tr>
              <w:trPr>
                <w:trHeight w:val="621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Sex, missing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20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Lung disease,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 (6.2%)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12 (19.4%)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 (22.2%)</w:t>
                  </w:r>
                </w:p>
              </w:tc>
            </w:tr>
            <w:tr>
              <w:trPr>
                <w:trHeight w:val="620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Lung disease, missing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20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Chronic kidney disease,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8 (12.9%)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21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Chronic kidney disease, missing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16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Diabetes,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 (6.2%)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18 (29.0%)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 (33.3%)</w:t>
                  </w:r>
                </w:p>
              </w:tc>
            </w:tr>
            <w:tr>
              <w:trPr>
                <w:trHeight w:val="620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Diabetes, missing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18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Cardiovascular disease,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10 (62.5%)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31 (50.0%)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5 (55.6%)</w:t>
                  </w:r>
                </w:p>
              </w:tc>
            </w:tr>
            <w:tr>
              <w:trPr>
                <w:trHeight w:val="621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Cardiovascular disease, missing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18" w:hRule="auto"/>
              </w:trPr>
              body13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Cancer,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 (6.2%)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 (6.5%)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  <w:tr>
              <w:trPr>
                <w:trHeight w:val="621" w:hRule="auto"/>
              </w:trPr>
              body14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Cancer, missing n (%)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 (0.0%)</w:t>
                  </w:r>
                </w:p>
              </w:tc>
            </w:tr>
          </w:tbl>
          <w:bookmarkEnd w:id="101"/>
        </w:tc>
      </w:tr>
    </w:tbl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50" Target="media/rId50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55" Target="media/rId5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SCCS Risk Window Scanning</dc:title>
  <dc:creator>Trang Tu - Albert Chuang</dc:creator>
  <cp:keywords/>
  <dcterms:created xsi:type="dcterms:W3CDTF">2026-02-04T08:03:08Z</dcterms:created>
  <dcterms:modified xsi:type="dcterms:W3CDTF">2026-02-04T08:03:08Z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ocumentclass">
    <vt:lpwstr>report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argin-bottom">
    <vt:lpwstr>20 mm</vt:lpwstr>
  </property>
  <property fmtid="{D5CDD505-2E9C-101B-9397-08002B2CF9AE}" pid="13" name="margin-left">
    <vt:lpwstr>20 mm</vt:lpwstr>
  </property>
  <property fmtid="{D5CDD505-2E9C-101B-9397-08002B2CF9AE}" pid="14" name="margin-right">
    <vt:lpwstr>20 mm</vt:lpwstr>
  </property>
  <property fmtid="{D5CDD505-2E9C-101B-9397-08002B2CF9AE}" pid="15" name="margin-top">
    <vt:lpwstr>20 mm</vt:lpwstr>
  </property>
  <property fmtid="{D5CDD505-2E9C-101B-9397-08002B2CF9AE}" pid="16" name="subtitle">
    <vt:lpwstr>Descriptive Analysis</vt:lpwstr>
  </property>
  <property fmtid="{D5CDD505-2E9C-101B-9397-08002B2CF9AE}" pid="17" name="toc-title">
    <vt:lpwstr>Table of contents</vt:lpwstr>
  </property>
</Properties>
</file>