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03/QyĐ-PILOT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QUY ĐỊNH</w:t>
      </w:r>
    </w:p>
    <w:p>
      <w:pPr>
        <w:spacing w:after="100"/>
        <w:jc w:val="center"/>
      </w:pPr>
      <w:r>
        <w:t xml:space="preserve">V/v kiểm thử luồng định dạng quy định</w:t>
      </w:r>
    </w:p>
    <w:p>
      <w:pPr>
        <w:spacing w:after="100"/>
      </w:pPr>
      <w:r>
        <w:t xml:space="preserve">Tài liệu giả lập số 03; toàn bộ tên người, số liệu và tình huống dưới đây chỉ phục vụ kiểm thử, không phải hồ sơ thật.</w:t>
      </w:r>
    </w:p>
    <w:p>
      <w:pPr>
        <w:pStyle w:val="Heading2"/>
        <w:spacing w:after="100"/>
      </w:pPr>
      <w:r>
        <w:rPr>
          <w:b/>
          <w:bCs/>
        </w:rPr>
        <w:t xml:space="preserve">Phạm vi, đối tượng và giải thích</w:t>
      </w:r>
    </w:p>
    <w:p>
      <w:pPr>
        <w:spacing w:after="100"/>
      </w:pPr>
      <w:r>
        <w:t xml:space="preserve">Nội dung giả lập cho mục “Phạm vi, đối tượng và giải thích”: Quy định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1. Thực hiện bước thứ nhất theo nội dung đã giao; lưu lại kết quả và nguồn đối chiếu.</w:t>
      </w:r>
    </w:p>
    <w:p>
      <w:pPr>
        <w:spacing w:after="100"/>
      </w:pPr>
      <w:r>
        <w:t xml:space="preserve">1.1. Ghi nhận trường hợp ngoại lệ, người xử lý giả lập và thời gian hoàn thành.</w:t>
      </w:r>
    </w:p>
    <w:p>
      <w:pPr>
        <w:pStyle w:val="Heading2"/>
        <w:spacing w:after="100"/>
      </w:pPr>
      <w:r>
        <w:rPr>
          <w:b/>
          <w:bCs/>
        </w:rPr>
        <w:t xml:space="preserve">Quy tắc/tiêu chuẩn theo điều khoản</w:t>
      </w:r>
    </w:p>
    <w:p>
      <w:pPr>
        <w:spacing w:after="100"/>
      </w:pPr>
      <w:r>
        <w:t xml:space="preserve">Nội dung giả lập cho mục “Quy tắc/tiêu chuẩn theo điều khoản”: Quy định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2. Thực hiện bước thứ nhất theo nội dung đã giao; lưu lại kết quả và nguồn đối chiếu.</w:t>
      </w:r>
    </w:p>
    <w:p>
      <w:pPr>
        <w:spacing w:after="100"/>
      </w:pPr>
      <w:r>
        <w:t xml:space="preserve">2.1. Ghi nhận trường hợp ngoại lệ, người xử lý giả lập và thời gian hoàn thành.</w:t>
      </w:r>
    </w:p>
    <w:p>
      <w:pPr>
        <w:pStyle w:val="Heading2"/>
        <w:spacing w:after="100"/>
      </w:pPr>
      <w:r>
        <w:rPr>
          <w:b/>
          <w:bCs/>
        </w:rPr>
        <w:t xml:space="preserve">Trách nhiệm và thi hành</w:t>
      </w:r>
    </w:p>
    <w:p>
      <w:pPr>
        <w:spacing w:after="100"/>
      </w:pPr>
      <w:r>
        <w:t xml:space="preserve">Nội dung giả lập cho mục “Trách nhiệm và thi hành”: Quy định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3. Thực hiện bước thứ nhất theo nội dung đã giao; lưu lại kết quả và nguồn đối chiếu.</w:t>
      </w:r>
    </w:p>
    <w:p>
      <w:pPr>
        <w:spacing w:after="100"/>
      </w:pPr>
      <w:r>
        <w:t xml:space="preserve">3.1. Ghi nhận trường hợp ngoại lệ, người xử lý giả lập và thời gian hoàn thành.</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03</w:t>
            </w:r>
          </w:p>
        </w:tc>
      </w:tr>
    </w:tbl>
    <w:p>
      <w:pPr>
        <w:pStyle w:val="Heading1"/>
        <w:spacing w:after="100"/>
        <w:jc w:val="center"/>
      </w:pPr>
      <w:r>
        <w:rPr>
          <w:b/>
          <w:bCs/>
        </w:rPr>
        <w:t xml:space="preserve">PHỤ LỤC I</w:t>
      </w:r>
    </w:p>
    <w:p>
      <w:pPr>
        <w:spacing w:after="100"/>
      </w:pPr>
      <w:r>
        <w:t xml:space="preserve">Kèm theo quy định số 03/PILOT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định — Danh sách — nhiều ý và phụ lục</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2026-10-15T08:08:04.603Z</dcterms:created>
  <dcterms:modified xsi:type="dcterms:W3CDTF">2026-10-15T08:08:04.603Z</dcterms:modified>
</cp:coreProperties>
</file>

<file path=docProps/custom.xml><?xml version="1.0" encoding="utf-8"?>
<Properties xmlns="http://schemas.openxmlformats.org/officeDocument/2006/custom-properties" xmlns:vt="http://schemas.openxmlformats.org/officeDocument/2006/docPropsVTypes"/>
</file>