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20" w:after="0"/>
        <w:ind w:hanging="0" w:left="0" w:right="0"/>
        <w:jc w:val="left"/>
        <w:rPr>
          <w:shd w:fill="0B111D" w:val="clear"/>
        </w:rPr>
      </w:pPr>
      <w:r>
        <w:rPr>
          <w:color w:val="9AA6B6"/>
          <w:sz w:val="18"/>
          <w:shd w:fill="0B111D" w:val="clear"/>
        </w:rPr>
        <w:t>CONFIDENTIAL · BẢN MẬT</w:t>
      </w:r>
      <w:r>
        <w:rPr>
          <w:shd w:fill="0B111D" w:val="clear"/>
        </w:rPr>
        <w:t xml:space="preserve"> English Tiếng Việt </w:t>
      </w:r>
    </w:p>
    <w:p>
      <w:pPr>
        <w:pStyle w:val="BodyText"/>
        <w:bidi w:val="0"/>
        <w:ind w:hanging="0" w:left="0" w:right="0"/>
        <w:jc w:val="left"/>
        <w:rPr/>
      </w:pPr>
      <w:r>
        <w:rPr/>
        <w:t>Đường Sao Tỏa Sáng · DSTS</w:t>
      </w:r>
    </w:p>
    <w:p>
      <w:pPr>
        <w:pStyle w:val="Heading1"/>
        <w:bidi w:val="0"/>
        <w:jc w:val="left"/>
        <w:rPr/>
      </w:pPr>
      <w:r>
        <w:rPr/>
        <w:t>Investment Proposal</w:t>
      </w:r>
    </w:p>
    <w:p>
      <w:pPr>
        <w:pStyle w:val="Heading1vi"/>
        <w:bidi w:val="0"/>
        <w:jc w:val="left"/>
        <w:rPr/>
      </w:pPr>
      <w:r>
        <w:rPr/>
        <w:t>Hồ Sơ Kêu Gọi Đầu Tư</w:t>
      </w:r>
    </w:p>
    <w:p>
      <w:pPr>
        <w:pStyle w:val="Heading2"/>
        <w:bidi w:val="0"/>
        <w:jc w:val="left"/>
        <w:rPr/>
      </w:pPr>
      <w:r>
        <w:rPr/>
        <w:t>A diaspora-powered talent &amp; impact ecosystem connecting 5.3M+ Vietnamese worldwide</w:t>
      </w:r>
    </w:p>
    <w:p>
      <w:pPr>
        <w:pStyle w:val="Heading2vi"/>
        <w:bidi w:val="0"/>
        <w:jc w:val="left"/>
        <w:rPr/>
      </w:pPr>
      <w:r>
        <w:rPr/>
        <w:t>Hệ sinh thái tài năng &amp; tác động dựa trên cộng đồng, kết nối hơn 5,3 triệu người Việt toàn cầu</w:t>
      </w:r>
    </w:p>
    <w:p>
      <w:pPr>
        <w:pStyle w:val="BodyText"/>
        <w:bidi w:val="0"/>
        <w:spacing w:before="330" w:after="120"/>
        <w:ind w:hanging="0" w:left="0" w:right="0"/>
        <w:jc w:val="left"/>
        <w:rPr/>
      </w:pPr>
      <w:r>
        <w:rPr>
          <w:color w:val="E9DCB8"/>
          <w:sz w:val="18"/>
          <w:bdr w:val="single" w:sz="2" w:space="5" w:color="C9A44C"/>
        </w:rPr>
        <w:t>Series A · USD 2–3M</w:t>
      </w:r>
      <w:r>
        <w:rPr/>
        <w:t xml:space="preserve"> </w:t>
      </w:r>
      <w:r>
        <w:rPr>
          <w:color w:val="E9DCB8"/>
          <w:sz w:val="18"/>
          <w:bdr w:val="single" w:sz="2" w:space="5" w:color="C9A44C"/>
        </w:rPr>
        <w:t>Issuer: Viet Can New Corp (Georgia, USA)</w:t>
      </w:r>
      <w:r>
        <w:rPr/>
        <w:t xml:space="preserve"> </w:t>
      </w:r>
      <w:bookmarkStart w:id="0" w:name="cover-date"/>
      <w:bookmarkEnd w:id="0"/>
      <w:r>
        <w:rPr>
          <w:color w:val="E9DCB8"/>
          <w:sz w:val="18"/>
          <w:bdr w:val="single" w:sz="2" w:space="5" w:color="C9A44C"/>
        </w:rPr>
        <w:t>Confidential / Bản mật</w:t>
      </w:r>
      <w:r>
        <w:rPr/>
        <w:t xml:space="preserve"> </w:t>
      </w:r>
    </w:p>
    <w:p>
      <w:pPr>
        <w:pStyle w:val="BodyText"/>
        <w:bidi w:val="0"/>
        <w:spacing w:before="300" w:after="120"/>
        <w:ind w:hanging="0" w:left="0" w:right="0"/>
        <w:jc w:val="left"/>
        <w:rPr/>
      </w:pPr>
      <w:r>
        <w:rPr>
          <w:rStyle w:val="Strong"/>
        </w:rPr>
        <w:t>EN — Important notice.</w:t>
      </w:r>
      <w:r>
        <w:rPr/>
        <w:t xml:space="preserve"> This document is confidential and is provided to a limited number of qualified recipients for information purposes only. It is </w:t>
      </w:r>
      <w:r>
        <w:rPr>
          <w:rStyle w:val="Strong"/>
        </w:rPr>
        <w:t>not</w:t>
      </w:r>
      <w:r>
        <w:rPr/>
        <w:t xml:space="preserve"> an offer to sell, or a solicitation of an offer to buy, any security, and does not constitute investment, legal, tax, or accounting advice. Any offering will be made only to eligible/accredited investors through definitive transaction documents and in compliance with applicable U.S. and Vietnamese securities laws. Forward-looking statements, market sizes, valuations, and projections are estimates based on assumptions stated herein and are subject to material change; actual results may differ. Recipients should conduct their own due diligence and consult their own advisers.</w:t>
        <w:br/>
        <w:br/>
      </w:r>
      <w:r>
        <w:rPr>
          <w:rStyle w:val="Strong"/>
        </w:rPr>
        <w:t>VI — Lưu ý quan trọng.</w:t>
      </w:r>
      <w:r>
        <w:rPr/>
        <w:t xml:space="preserve"> Tài liệu này là tài liệu mật, cung cấp cho một số người nhận đủ điều kiện chỉ nhằm mục đích thông tin. Đây </w:t>
      </w:r>
      <w:r>
        <w:rPr>
          <w:rStyle w:val="Strong"/>
        </w:rPr>
        <w:t>không</w:t>
      </w:r>
      <w:r>
        <w:rPr/>
        <w:t xml:space="preserve"> phải là lời chào bán hay mời chào mua bất kỳ chứng khoán nào, và không cấu thành tư vấn đầu tư, pháp lý, thuế hoặc kế toán. Mọi đợt chào bán (nếu có) sẽ chỉ thực hiện với nhà đầu tư đủ điều kiện thông qua hợp đồng giao dịch chính thức, tuân thủ pháp luật chứng khoán Hoa Kỳ và Việt Nam. Các nhận định tương lai, quy mô thị trường, định giá và dự phóng là ước tính dựa trên các giả định nêu trong tài liệu và có thể thay đổi trọng yếu; kết quả thực tế có thể khác biệt. Người nhận nên tự thẩm định và tham vấn cố vấn riêng. </w:t>
      </w:r>
    </w:p>
    <w:p>
      <w:pPr>
        <w:pStyle w:val="Heading2sec"/>
        <w:bidi w:val="0"/>
        <w:jc w:val="left"/>
        <w:rPr/>
      </w:pPr>
      <w:r>
        <w:rPr/>
        <w:t>1. Executive Summary</w:t>
      </w:r>
    </w:p>
    <w:p>
      <w:pPr>
        <w:pStyle w:val="BodyTextlead"/>
        <w:bidi w:val="0"/>
        <w:jc w:val="left"/>
        <w:rPr/>
      </w:pPr>
      <w:r>
        <w:rPr/>
        <w:t xml:space="preserve">Đường Sao Tỏa Sáng ("DSTS") is a bilingual digital ecosystem that connects the global Vietnamese diaspora with talented individuals in Vietnam through verified storytelling, mentorship, structured coaching journeys, membership communities, and transparent giving — operated under a strict three-lane legal architecture (commercial, non-profit, investment) with full legal responsibility held by </w:t>
      </w:r>
      <w:r>
        <w:rPr>
          <w:rStyle w:val="Strong"/>
        </w:rPr>
        <w:t>Viet Can New Corp</w:t>
      </w:r>
      <w:r>
        <w:rPr/>
        <w:t xml:space="preserve"> (Georgia, USA).</w:t>
      </w:r>
    </w:p>
    <w:p>
      <w:pPr>
        <w:pStyle w:val="BodyText"/>
        <w:bidi w:val="0"/>
        <w:spacing w:before="240" w:after="240"/>
        <w:ind w:hanging="0" w:left="240" w:right="240"/>
        <w:jc w:val="left"/>
        <w:rPr>
          <w:bdr w:val="single" w:sz="2" w:space="11" w:color="000000"/>
          <w:shd w:fill="FFFFFF" w:val="clear"/>
        </w:rPr>
      </w:pPr>
      <w:r>
        <w:rPr>
          <w:bdr w:val="single" w:sz="2" w:space="11" w:color="000000"/>
          <w:shd w:fill="FFFFFF" w:val="clear"/>
        </w:rPr>
        <w:t>5.3M+</w:t>
      </w:r>
    </w:p>
    <w:p>
      <w:pPr>
        <w:pStyle w:val="BodyText"/>
        <w:bidi w:val="0"/>
        <w:spacing w:before="240" w:after="240"/>
        <w:ind w:left="240" w:right="240"/>
        <w:jc w:val="left"/>
        <w:rPr>
          <w:bdr w:val="single" w:sz="2" w:space="11" w:color="000000"/>
          <w:shd w:fill="FFFFFF" w:val="clear"/>
        </w:rPr>
      </w:pPr>
      <w:r>
        <w:rPr>
          <w:bdr w:val="single" w:sz="2" w:space="11" w:color="000000"/>
          <w:shd w:fill="FFFFFF" w:val="clear"/>
        </w:rPr>
        <w:t>Vietnamese diaspora (TAM population)</w:t>
      </w:r>
    </w:p>
    <w:p>
      <w:pPr>
        <w:pStyle w:val="BodyText"/>
        <w:bidi w:val="0"/>
        <w:spacing w:before="240" w:after="240"/>
        <w:ind w:hanging="0" w:left="240" w:right="240"/>
        <w:jc w:val="left"/>
        <w:rPr>
          <w:bdr w:val="single" w:sz="2" w:space="11" w:color="000000"/>
          <w:shd w:fill="FFFFFF" w:val="clear"/>
        </w:rPr>
      </w:pPr>
      <w:r>
        <w:rPr>
          <w:bdr w:val="single" w:sz="2" w:space="11" w:color="000000"/>
          <w:shd w:fill="FFFFFF" w:val="clear"/>
        </w:rPr>
        <w:t>USD 2–3M</w:t>
      </w:r>
    </w:p>
    <w:p>
      <w:pPr>
        <w:pStyle w:val="BodyText"/>
        <w:bidi w:val="0"/>
        <w:spacing w:before="240" w:after="240"/>
        <w:ind w:left="240" w:right="240"/>
        <w:jc w:val="left"/>
        <w:rPr>
          <w:bdr w:val="single" w:sz="2" w:space="11" w:color="000000"/>
          <w:shd w:fill="FFFFFF" w:val="clear"/>
        </w:rPr>
      </w:pPr>
      <w:r>
        <w:rPr>
          <w:bdr w:val="single" w:sz="2" w:space="11" w:color="000000"/>
          <w:shd w:fill="FFFFFF" w:val="clear"/>
        </w:rPr>
        <w:t>Series A raise sought</w:t>
      </w:r>
    </w:p>
    <w:p>
      <w:pPr>
        <w:pStyle w:val="BodyText"/>
        <w:bidi w:val="0"/>
        <w:spacing w:before="240" w:after="240"/>
        <w:ind w:hanging="0" w:left="240" w:right="240"/>
        <w:jc w:val="left"/>
        <w:rPr>
          <w:bdr w:val="single" w:sz="2" w:space="11" w:color="000000"/>
          <w:shd w:fill="FFFFFF" w:val="clear"/>
        </w:rPr>
      </w:pPr>
      <w:r>
        <w:rPr>
          <w:bdr w:val="single" w:sz="2" w:space="11" w:color="000000"/>
          <w:shd w:fill="FFFFFF" w:val="clear"/>
        </w:rPr>
        <w:t>Layer 0 live</w:t>
      </w:r>
    </w:p>
    <w:p>
      <w:pPr>
        <w:pStyle w:val="BodyText"/>
        <w:bidi w:val="0"/>
        <w:spacing w:before="240" w:after="240"/>
        <w:ind w:left="240" w:right="240"/>
        <w:jc w:val="left"/>
        <w:rPr>
          <w:bdr w:val="single" w:sz="2" w:space="11" w:color="000000"/>
          <w:shd w:fill="FFFFFF" w:val="clear"/>
        </w:rPr>
      </w:pPr>
      <w:r>
        <w:rPr>
          <w:bdr w:val="single" w:sz="2" w:space="11" w:color="000000"/>
          <w:shd w:fill="FFFFFF" w:val="clear"/>
        </w:rPr>
        <w:t>Public platform shipped &amp; in production</w:t>
      </w:r>
    </w:p>
    <w:p>
      <w:pPr>
        <w:pStyle w:val="BodyText"/>
        <w:bidi w:val="0"/>
        <w:jc w:val="left"/>
        <w:rPr/>
      </w:pPr>
      <w:r>
        <w:rPr>
          <w:rStyle w:val="Strong"/>
        </w:rPr>
        <w:t>What we are raising and why.</w:t>
      </w:r>
      <w:r>
        <w:rPr/>
        <w:t xml:space="preserve"> We are seeking </w:t>
      </w:r>
      <w:r>
        <w:rPr>
          <w:rStyle w:val="Strong"/>
        </w:rPr>
        <w:t>USD 2–3 million</w:t>
      </w:r>
      <w:r>
        <w:rPr/>
        <w:t xml:space="preserve"> (Series A) to complete legal build-out across the US and Vietnam, launch the revenue layers (Movement Portal and Star Journey OS), build the operating team, and fund diaspora go-to-market. Capital is structured to be released against execution milestones.</w:t>
      </w:r>
    </w:p>
    <w:p>
      <w:pPr>
        <w:pStyle w:val="BodyText"/>
        <w:bidi w:val="0"/>
        <w:jc w:val="left"/>
        <w:rPr/>
      </w:pPr>
      <w:r>
        <w:rPr>
          <w:rStyle w:val="Strong"/>
        </w:rPr>
        <w:t>Stage &amp; transparency note (read first).</w:t>
      </w:r>
      <w:r>
        <w:rPr/>
        <w:t xml:space="preserve"> DSTS is currently </w:t>
      </w:r>
      <w:r>
        <w:rPr>
          <w:rStyle w:val="Strong"/>
        </w:rPr>
        <w:t>pre-revenue</w:t>
      </w:r>
      <w:r>
        <w:rPr/>
        <w:t xml:space="preserve">. The public content platform (Layer 0) is live in production; the monetizing layers are specified and partially built but not yet launched. The valuation ranges and financial projections in this document are </w:t>
      </w:r>
      <w:r>
        <w:rPr>
          <w:rStyle w:val="Emphasis"/>
        </w:rPr>
        <w:t>forward-looking and assumption-based</w:t>
      </w:r>
      <w:r>
        <w:rPr/>
        <w:t xml:space="preserve">, not historical performance. We present conservative, moderate, and aggressive scenarios so investors can judge the range honestly. We recommend a milestone-tranched structure (or a capped convertible/SAFE) precisely because the company is early stage. </w:t>
      </w:r>
    </w:p>
    <w:p>
      <w:pPr>
        <w:pStyle w:val="Heading2sec"/>
        <w:bidi w:val="0"/>
        <w:jc w:val="left"/>
        <w:rPr/>
      </w:pPr>
      <w:r>
        <w:rPr/>
        <w:t>2. Company &amp; Legal Structure</w:t>
      </w:r>
    </w:p>
    <w:p>
      <w:pPr>
        <w:pStyle w:val="Heading3"/>
        <w:bidi w:val="0"/>
        <w:jc w:val="left"/>
        <w:rPr/>
      </w:pPr>
      <w:r>
        <w:rPr/>
        <w:t>2.1 Responsible entity (United States)</w:t>
      </w:r>
    </w:p>
    <w:p>
      <w:pPr>
        <w:pStyle w:val="BodyText"/>
        <w:bidi w:val="0"/>
        <w:jc w:val="left"/>
        <w:rPr/>
      </w:pPr>
      <w:r>
        <w:rPr/>
        <w:t>Full legal and financial responsibility for the DSTS platform sits with the U.S. entity:</w:t>
      </w:r>
    </w:p>
    <w:tbl>
      <w:tblPr>
        <w:tblW w:w="10205" w:type="dxa"/>
        <w:jc w:val="left"/>
        <w:tblInd w:w="28" w:type="dxa"/>
        <w:tblLayout w:type="fixed"/>
        <w:tblCellMar>
          <w:top w:w="28" w:type="dxa"/>
          <w:left w:w="28" w:type="dxa"/>
          <w:bottom w:w="28" w:type="dxa"/>
          <w:right w:w="28" w:type="dxa"/>
        </w:tblCellMar>
      </w:tblPr>
      <w:tblGrid>
        <w:gridCol w:w="1857"/>
        <w:gridCol w:w="8348"/>
      </w:tblGrid>
      <w:tr>
        <w:trPr/>
        <w:tc>
          <w:tcPr>
            <w:tcW w:w="1857" w:type="dxa"/>
            <w:tcBorders/>
            <w:vAlign w:val="center"/>
          </w:tcPr>
          <w:p>
            <w:pPr>
              <w:pStyle w:val="TableHeading"/>
              <w:suppressLineNumbers/>
              <w:shd w:fill="F2F4F8" w:val="clear"/>
              <w:bidi w:val="0"/>
              <w:jc w:val="left"/>
              <w:rPr/>
            </w:pPr>
            <w:r>
              <w:rPr/>
              <w:t>Entity</w:t>
            </w:r>
          </w:p>
        </w:tc>
        <w:tc>
          <w:tcPr>
            <w:tcW w:w="8348" w:type="dxa"/>
            <w:tcBorders/>
            <w:vAlign w:val="center"/>
          </w:tcPr>
          <w:p>
            <w:pPr>
              <w:pStyle w:val="TableContents"/>
              <w:widowControl w:val="false"/>
              <w:suppressLineNumbers/>
              <w:bidi w:val="0"/>
              <w:jc w:val="left"/>
              <w:rPr/>
            </w:pPr>
            <w:r>
              <w:rPr>
                <w:rStyle w:val="Strong"/>
              </w:rPr>
              <w:t>VIET CAN NEW CORP</w:t>
            </w:r>
            <w:r>
              <w:rPr/>
              <w:t xml:space="preserve"> (Georgia C-Corporation, USA)</w:t>
            </w:r>
          </w:p>
        </w:tc>
      </w:tr>
      <w:tr>
        <w:trPr/>
        <w:tc>
          <w:tcPr>
            <w:tcW w:w="1857" w:type="dxa"/>
            <w:tcBorders/>
            <w:vAlign w:val="center"/>
          </w:tcPr>
          <w:p>
            <w:pPr>
              <w:pStyle w:val="TableHeading"/>
              <w:suppressLineNumbers/>
              <w:shd w:fill="F2F4F8" w:val="clear"/>
              <w:bidi w:val="0"/>
              <w:jc w:val="left"/>
              <w:rPr/>
            </w:pPr>
            <w:r>
              <w:rPr/>
              <w:t>Registered address</w:t>
            </w:r>
          </w:p>
        </w:tc>
        <w:tc>
          <w:tcPr>
            <w:tcW w:w="8348" w:type="dxa"/>
            <w:tcBorders/>
            <w:vAlign w:val="center"/>
          </w:tcPr>
          <w:p>
            <w:pPr>
              <w:pStyle w:val="TableContents"/>
              <w:widowControl w:val="false"/>
              <w:suppressLineNumbers/>
              <w:bidi w:val="0"/>
              <w:jc w:val="left"/>
              <w:rPr/>
            </w:pPr>
            <w:r>
              <w:rPr/>
              <w:t>7722 Stone Meadow Trail, Lithonia, Georgia 30058, United States</w:t>
            </w:r>
          </w:p>
        </w:tc>
      </w:tr>
      <w:tr>
        <w:trPr/>
        <w:tc>
          <w:tcPr>
            <w:tcW w:w="1857" w:type="dxa"/>
            <w:tcBorders/>
            <w:vAlign w:val="center"/>
          </w:tcPr>
          <w:p>
            <w:pPr>
              <w:pStyle w:val="TableHeading"/>
              <w:suppressLineNumbers/>
              <w:shd w:fill="F2F4F8" w:val="clear"/>
              <w:bidi w:val="0"/>
              <w:jc w:val="left"/>
              <w:rPr/>
            </w:pPr>
            <w:r>
              <w:rPr/>
              <w:t>Official contact</w:t>
            </w:r>
          </w:p>
        </w:tc>
        <w:tc>
          <w:tcPr>
            <w:tcW w:w="8348" w:type="dxa"/>
            <w:tcBorders/>
            <w:vAlign w:val="center"/>
          </w:tcPr>
          <w:p>
            <w:pPr>
              <w:pStyle w:val="TableContents"/>
              <w:widowControl w:val="false"/>
              <w:suppressLineNumbers/>
              <w:bidi w:val="0"/>
              <w:jc w:val="left"/>
              <w:rPr/>
            </w:pPr>
            <w:hyperlink r:id="rId2">
              <w:r>
                <w:rPr>
                  <w:rStyle w:val="Hyperlink"/>
                </w:rPr>
                <w:t>contact@duongsaotoasang.com</w:t>
              </w:r>
            </w:hyperlink>
          </w:p>
        </w:tc>
      </w:tr>
      <w:tr>
        <w:trPr/>
        <w:tc>
          <w:tcPr>
            <w:tcW w:w="1857" w:type="dxa"/>
            <w:tcBorders/>
            <w:vAlign w:val="center"/>
          </w:tcPr>
          <w:p>
            <w:pPr>
              <w:pStyle w:val="TableHeading"/>
              <w:suppressLineNumbers/>
              <w:shd w:fill="F2F4F8" w:val="clear"/>
              <w:bidi w:val="0"/>
              <w:jc w:val="left"/>
              <w:rPr/>
            </w:pPr>
            <w:r>
              <w:rPr/>
              <w:t>Role</w:t>
            </w:r>
          </w:p>
        </w:tc>
        <w:tc>
          <w:tcPr>
            <w:tcW w:w="8348" w:type="dxa"/>
            <w:tcBorders/>
            <w:vAlign w:val="center"/>
          </w:tcPr>
          <w:p>
            <w:pPr>
              <w:pStyle w:val="TableContents"/>
              <w:widowControl w:val="false"/>
              <w:suppressLineNumbers/>
              <w:bidi w:val="0"/>
              <w:jc w:val="left"/>
              <w:rPr/>
            </w:pPr>
            <w:r>
              <w:rPr/>
              <w:t>Issuer of this proposal; operator of international commercial activity; fully and solely legally responsible for the platform.</w:t>
            </w:r>
          </w:p>
        </w:tc>
      </w:tr>
    </w:tbl>
    <w:p>
      <w:pPr>
        <w:pStyle w:val="Heading3"/>
        <w:bidi w:val="0"/>
        <w:jc w:val="left"/>
        <w:rPr/>
      </w:pPr>
      <w:r>
        <w:rPr/>
        <w:t>2.2 Vietnam representation (non-legal)</w:t>
      </w:r>
    </w:p>
    <w:p>
      <w:pPr>
        <w:pStyle w:val="BodyText"/>
        <w:bidi w:val="0"/>
        <w:jc w:val="left"/>
        <w:rPr/>
      </w:pPr>
      <w:r>
        <w:rPr/>
        <w:t xml:space="preserve">In Vietnam, DSTS is represented for local coordination and operations by </w:t>
      </w:r>
      <w:r>
        <w:rPr>
          <w:rStyle w:val="Strong"/>
        </w:rPr>
        <w:t>Viet Can Star Entertainment JSC</w:t>
      </w:r>
      <w:r>
        <w:rPr/>
        <w:t xml:space="preserve"> (Công ty Cổ phần Giải trí Ngôi Sao Việt Can, Tax ID 0315462505). This representation is </w:t>
      </w:r>
      <w:r>
        <w:rPr>
          <w:rStyle w:val="Strong"/>
        </w:rPr>
        <w:t>operational only and bears no legal responsibility</w:t>
      </w:r>
      <w:r>
        <w:rPr/>
        <w:t xml:space="preserve"> for the investment; the United States entity (Viet Can New Corp) is fully and solely responsible.</w:t>
      </w:r>
    </w:p>
    <w:p>
      <w:pPr>
        <w:pStyle w:val="Heading3"/>
        <w:bidi w:val="0"/>
        <w:jc w:val="left"/>
        <w:rPr/>
      </w:pPr>
      <w:r>
        <w:rPr/>
        <w:t>2.3 Three-lane legal firewall</w:t>
      </w:r>
    </w:p>
    <w:tbl>
      <w:tblPr>
        <w:tblW w:w="10205" w:type="dxa"/>
        <w:jc w:val="left"/>
        <w:tblInd w:w="28" w:type="dxa"/>
        <w:tblLayout w:type="fixed"/>
        <w:tblCellMar>
          <w:top w:w="28" w:type="dxa"/>
          <w:left w:w="28" w:type="dxa"/>
          <w:bottom w:w="28" w:type="dxa"/>
          <w:right w:w="28" w:type="dxa"/>
        </w:tblCellMar>
      </w:tblPr>
      <w:tblGrid>
        <w:gridCol w:w="1723"/>
        <w:gridCol w:w="4477"/>
        <w:gridCol w:w="4005"/>
      </w:tblGrid>
      <w:tr>
        <w:trPr/>
        <w:tc>
          <w:tcPr>
            <w:tcW w:w="1723" w:type="dxa"/>
            <w:tcBorders/>
            <w:vAlign w:val="center"/>
          </w:tcPr>
          <w:p>
            <w:pPr>
              <w:pStyle w:val="TableHeading"/>
              <w:suppressLineNumbers/>
              <w:shd w:fill="F2F4F8" w:val="clear"/>
              <w:bidi w:val="0"/>
              <w:jc w:val="left"/>
              <w:rPr/>
            </w:pPr>
            <w:r>
              <w:rPr/>
              <w:t>Lane</w:t>
            </w:r>
          </w:p>
        </w:tc>
        <w:tc>
          <w:tcPr>
            <w:tcW w:w="4477" w:type="dxa"/>
            <w:tcBorders/>
            <w:vAlign w:val="center"/>
          </w:tcPr>
          <w:p>
            <w:pPr>
              <w:pStyle w:val="TableHeading"/>
              <w:suppressLineNumbers/>
              <w:shd w:fill="F2F4F8" w:val="clear"/>
              <w:bidi w:val="0"/>
              <w:jc w:val="left"/>
              <w:rPr/>
            </w:pPr>
            <w:r>
              <w:rPr/>
              <w:t>Purpose</w:t>
            </w:r>
          </w:p>
        </w:tc>
        <w:tc>
          <w:tcPr>
            <w:tcW w:w="4005" w:type="dxa"/>
            <w:tcBorders/>
            <w:vAlign w:val="center"/>
          </w:tcPr>
          <w:p>
            <w:pPr>
              <w:pStyle w:val="TableHeading"/>
              <w:suppressLineNumbers/>
              <w:shd w:fill="F2F4F8" w:val="clear"/>
              <w:bidi w:val="0"/>
              <w:jc w:val="left"/>
              <w:rPr/>
            </w:pPr>
            <w:r>
              <w:rPr/>
              <w:t>Notes</w:t>
            </w:r>
          </w:p>
        </w:tc>
      </w:tr>
      <w:tr>
        <w:trPr/>
        <w:tc>
          <w:tcPr>
            <w:tcW w:w="1723" w:type="dxa"/>
            <w:tcBorders/>
            <w:vAlign w:val="center"/>
          </w:tcPr>
          <w:p>
            <w:pPr>
              <w:pStyle w:val="TableContents"/>
              <w:widowControl w:val="false"/>
              <w:suppressLineNumbers/>
              <w:bidi w:val="0"/>
              <w:jc w:val="left"/>
              <w:rPr/>
            </w:pPr>
            <w:r>
              <w:rPr/>
              <w:t>A — Commercial</w:t>
            </w:r>
          </w:p>
        </w:tc>
        <w:tc>
          <w:tcPr>
            <w:tcW w:w="4477" w:type="dxa"/>
            <w:tcBorders/>
            <w:vAlign w:val="center"/>
          </w:tcPr>
          <w:p>
            <w:pPr>
              <w:pStyle w:val="TableContents"/>
              <w:widowControl w:val="false"/>
              <w:suppressLineNumbers/>
              <w:bidi w:val="0"/>
              <w:jc w:val="left"/>
              <w:rPr/>
            </w:pPr>
            <w:r>
              <w:rPr/>
              <w:t>Coaching, memberships, events, commercial sponsorships, media/IP</w:t>
            </w:r>
          </w:p>
        </w:tc>
        <w:tc>
          <w:tcPr>
            <w:tcW w:w="4005" w:type="dxa"/>
            <w:tcBorders/>
            <w:vAlign w:val="center"/>
          </w:tcPr>
          <w:p>
            <w:pPr>
              <w:pStyle w:val="TableContents"/>
              <w:widowControl w:val="false"/>
              <w:suppressLineNumbers/>
              <w:bidi w:val="0"/>
              <w:jc w:val="left"/>
              <w:rPr/>
            </w:pPr>
            <w:r>
              <w:rPr/>
              <w:t>For-profit; this Series A funds the commercial entity.</w:t>
            </w:r>
          </w:p>
        </w:tc>
      </w:tr>
      <w:tr>
        <w:trPr/>
        <w:tc>
          <w:tcPr>
            <w:tcW w:w="1723" w:type="dxa"/>
            <w:tcBorders/>
            <w:vAlign w:val="center"/>
          </w:tcPr>
          <w:p>
            <w:pPr>
              <w:pStyle w:val="TableContents"/>
              <w:widowControl w:val="false"/>
              <w:suppressLineNumbers/>
              <w:bidi w:val="0"/>
              <w:jc w:val="left"/>
              <w:rPr/>
            </w:pPr>
            <w:r>
              <w:rPr/>
              <w:t>B — Non-profit</w:t>
            </w:r>
          </w:p>
        </w:tc>
        <w:tc>
          <w:tcPr>
            <w:tcW w:w="4477" w:type="dxa"/>
            <w:tcBorders/>
            <w:vAlign w:val="center"/>
          </w:tcPr>
          <w:p>
            <w:pPr>
              <w:pStyle w:val="TableContents"/>
              <w:widowControl w:val="false"/>
              <w:suppressLineNumbers/>
              <w:bidi w:val="0"/>
              <w:jc w:val="left"/>
              <w:rPr/>
            </w:pPr>
            <w:r>
              <w:rPr/>
              <w:t>Donations, child-development (NDNUM), scholarships</w:t>
            </w:r>
          </w:p>
        </w:tc>
        <w:tc>
          <w:tcPr>
            <w:tcW w:w="4005" w:type="dxa"/>
            <w:tcBorders/>
            <w:vAlign w:val="center"/>
          </w:tcPr>
          <w:p>
            <w:pPr>
              <w:pStyle w:val="TableContents"/>
              <w:widowControl w:val="false"/>
              <w:suppressLineNumbers/>
              <w:bidi w:val="0"/>
              <w:jc w:val="left"/>
              <w:rPr/>
            </w:pPr>
            <w:r>
              <w:rPr/>
              <w:t>Separated; donations are never investments.</w:t>
            </w:r>
          </w:p>
        </w:tc>
      </w:tr>
      <w:tr>
        <w:trPr/>
        <w:tc>
          <w:tcPr>
            <w:tcW w:w="1723" w:type="dxa"/>
            <w:tcBorders/>
            <w:vAlign w:val="center"/>
          </w:tcPr>
          <w:p>
            <w:pPr>
              <w:pStyle w:val="TableContents"/>
              <w:widowControl w:val="false"/>
              <w:suppressLineNumbers/>
              <w:bidi w:val="0"/>
              <w:jc w:val="left"/>
              <w:rPr/>
            </w:pPr>
            <w:r>
              <w:rPr/>
              <w:t>C — Investment</w:t>
            </w:r>
          </w:p>
        </w:tc>
        <w:tc>
          <w:tcPr>
            <w:tcW w:w="4477" w:type="dxa"/>
            <w:tcBorders/>
            <w:vAlign w:val="center"/>
          </w:tcPr>
          <w:p>
            <w:pPr>
              <w:pStyle w:val="TableContents"/>
              <w:widowControl w:val="false"/>
              <w:suppressLineNumbers/>
              <w:bidi w:val="0"/>
              <w:jc w:val="left"/>
              <w:rPr/>
            </w:pPr>
            <w:r>
              <w:rPr/>
              <w:t>Equity / convertible instruments</w:t>
            </w:r>
          </w:p>
        </w:tc>
        <w:tc>
          <w:tcPr>
            <w:tcW w:w="4005" w:type="dxa"/>
            <w:tcBorders/>
            <w:vAlign w:val="center"/>
          </w:tcPr>
          <w:p>
            <w:pPr>
              <w:pStyle w:val="TableContents"/>
              <w:widowControl w:val="false"/>
              <w:suppressLineNumbers/>
              <w:bidi w:val="0"/>
              <w:jc w:val="left"/>
              <w:rPr/>
            </w:pPr>
            <w:r>
              <w:rPr/>
              <w:t>Private, gated, accredited-only; subject to securities counsel.</w:t>
            </w:r>
          </w:p>
        </w:tc>
      </w:tr>
    </w:tbl>
    <w:p>
      <w:pPr>
        <w:pStyle w:val="BodyText"/>
        <w:bidi w:val="0"/>
        <w:jc w:val="left"/>
        <w:rPr/>
      </w:pPr>
      <w:r>
        <w:rPr/>
        <w:t>Investment (Lane C) is deliberately kept private and separate from the public donation and child-program lanes. This proposal is distributed privately and is not a public solicitation.</w:t>
      </w:r>
    </w:p>
    <w:p>
      <w:pPr>
        <w:pStyle w:val="Heading2sec"/>
        <w:bidi w:val="0"/>
        <w:jc w:val="left"/>
        <w:rPr/>
      </w:pPr>
      <w:r>
        <w:rPr/>
        <w:t>3. Problem &amp; Opportunity</w:t>
      </w:r>
    </w:p>
    <w:p>
      <w:pPr>
        <w:pStyle w:val="BodyText"/>
        <w:bidi w:val="0"/>
        <w:jc w:val="left"/>
        <w:rPr/>
      </w:pPr>
      <w:r>
        <w:rPr/>
        <w:t xml:space="preserve">The Vietnamese diaspora sends an estimated </w:t>
      </w:r>
      <w:r>
        <w:rPr>
          <w:rStyle w:val="Strong"/>
        </w:rPr>
        <w:t>~USD 18B/year</w:t>
      </w:r>
      <w:r>
        <w:rPr/>
        <w:t xml:space="preserve"> in remittances home, yet there is no trusted, transparent, diaspora-native platform that channels both money and mentorship into verified talent and impact. Existing options are fragmented: generic crowdfunding (no verification, no journey), informal family transfers (no transparency), and traditional charities (limited diaspora-specific design). DSTS combines verification, structured journeys, and transparent reporting in one bilingual ecosystem.</w:t>
      </w:r>
    </w:p>
    <w:p>
      <w:pPr>
        <w:pStyle w:val="Heading2sec"/>
        <w:bidi w:val="0"/>
        <w:jc w:val="left"/>
        <w:rPr/>
      </w:pPr>
      <w:r>
        <w:rPr/>
        <w:t>4. Product &amp; Ecosystem</w:t>
      </w:r>
    </w:p>
    <w:tbl>
      <w:tblPr>
        <w:tblW w:w="10205" w:type="dxa"/>
        <w:jc w:val="left"/>
        <w:tblInd w:w="28" w:type="dxa"/>
        <w:tblLayout w:type="fixed"/>
        <w:tblCellMar>
          <w:top w:w="28" w:type="dxa"/>
          <w:left w:w="28" w:type="dxa"/>
          <w:bottom w:w="28" w:type="dxa"/>
          <w:right w:w="28" w:type="dxa"/>
        </w:tblCellMar>
      </w:tblPr>
      <w:tblGrid>
        <w:gridCol w:w="2380"/>
        <w:gridCol w:w="3572"/>
        <w:gridCol w:w="2392"/>
        <w:gridCol w:w="1861"/>
      </w:tblGrid>
      <w:tr>
        <w:trPr/>
        <w:tc>
          <w:tcPr>
            <w:tcW w:w="2380" w:type="dxa"/>
            <w:tcBorders/>
            <w:vAlign w:val="center"/>
          </w:tcPr>
          <w:p>
            <w:pPr>
              <w:pStyle w:val="TableHeading"/>
              <w:suppressLineNumbers/>
              <w:shd w:fill="F2F4F8" w:val="clear"/>
              <w:bidi w:val="0"/>
              <w:jc w:val="left"/>
              <w:rPr/>
            </w:pPr>
            <w:r>
              <w:rPr/>
              <w:t>Layer</w:t>
            </w:r>
          </w:p>
        </w:tc>
        <w:tc>
          <w:tcPr>
            <w:tcW w:w="3572" w:type="dxa"/>
            <w:tcBorders/>
            <w:vAlign w:val="center"/>
          </w:tcPr>
          <w:p>
            <w:pPr>
              <w:pStyle w:val="TableHeading"/>
              <w:suppressLineNumbers/>
              <w:shd w:fill="F2F4F8" w:val="clear"/>
              <w:bidi w:val="0"/>
              <w:jc w:val="left"/>
              <w:rPr/>
            </w:pPr>
            <w:r>
              <w:rPr/>
              <w:t>What it does</w:t>
            </w:r>
          </w:p>
        </w:tc>
        <w:tc>
          <w:tcPr>
            <w:tcW w:w="2392" w:type="dxa"/>
            <w:tcBorders/>
            <w:vAlign w:val="center"/>
          </w:tcPr>
          <w:p>
            <w:pPr>
              <w:pStyle w:val="TableHeading"/>
              <w:suppressLineNumbers/>
              <w:shd w:fill="F2F4F8" w:val="clear"/>
              <w:bidi w:val="0"/>
              <w:jc w:val="left"/>
              <w:rPr/>
            </w:pPr>
            <w:r>
              <w:rPr/>
              <w:t>Primary monetization</w:t>
            </w:r>
          </w:p>
        </w:tc>
        <w:tc>
          <w:tcPr>
            <w:tcW w:w="1861" w:type="dxa"/>
            <w:tcBorders/>
            <w:vAlign w:val="center"/>
          </w:tcPr>
          <w:p>
            <w:pPr>
              <w:pStyle w:val="TableHeading"/>
              <w:suppressLineNumbers/>
              <w:shd w:fill="F2F4F8" w:val="clear"/>
              <w:bidi w:val="0"/>
              <w:jc w:val="left"/>
              <w:rPr/>
            </w:pPr>
            <w:r>
              <w:rPr/>
              <w:t>Status</w:t>
            </w:r>
          </w:p>
        </w:tc>
      </w:tr>
      <w:tr>
        <w:trPr/>
        <w:tc>
          <w:tcPr>
            <w:tcW w:w="2380" w:type="dxa"/>
            <w:tcBorders/>
            <w:vAlign w:val="center"/>
          </w:tcPr>
          <w:p>
            <w:pPr>
              <w:pStyle w:val="TableContents"/>
              <w:widowControl w:val="false"/>
              <w:suppressLineNumbers/>
              <w:bidi w:val="0"/>
              <w:jc w:val="left"/>
              <w:rPr/>
            </w:pPr>
            <w:r>
              <w:rPr/>
              <w:t>0 — Foundation</w:t>
            </w:r>
          </w:p>
        </w:tc>
        <w:tc>
          <w:tcPr>
            <w:tcW w:w="3572" w:type="dxa"/>
            <w:tcBorders/>
            <w:vAlign w:val="center"/>
          </w:tcPr>
          <w:p>
            <w:pPr>
              <w:pStyle w:val="TableContents"/>
              <w:widowControl w:val="false"/>
              <w:suppressLineNumbers/>
              <w:bidi w:val="0"/>
              <w:jc w:val="left"/>
              <w:rPr/>
            </w:pPr>
            <w:r>
              <w:rPr/>
              <w:t>Public content, story library, mentor directory, SEO</w:t>
            </w:r>
          </w:p>
        </w:tc>
        <w:tc>
          <w:tcPr>
            <w:tcW w:w="2392" w:type="dxa"/>
            <w:tcBorders/>
            <w:vAlign w:val="center"/>
          </w:tcPr>
          <w:p>
            <w:pPr>
              <w:pStyle w:val="TableContents"/>
              <w:widowControl w:val="false"/>
              <w:suppressLineNumbers/>
              <w:bidi w:val="0"/>
              <w:jc w:val="left"/>
              <w:rPr/>
            </w:pPr>
            <w:r>
              <w:rPr/>
              <w:t>Top-of-funnel (free)</w:t>
            </w:r>
          </w:p>
        </w:tc>
        <w:tc>
          <w:tcPr>
            <w:tcW w:w="1861" w:type="dxa"/>
            <w:tcBorders/>
            <w:vAlign w:val="center"/>
          </w:tcPr>
          <w:p>
            <w:pPr>
              <w:pStyle w:val="TableContents"/>
              <w:widowControl w:val="false"/>
              <w:suppressLineNumbers/>
              <w:bidi w:val="0"/>
              <w:jc w:val="left"/>
              <w:rPr/>
            </w:pPr>
            <w:r>
              <w:rPr>
                <w:rStyle w:val="Strong"/>
              </w:rPr>
              <w:t>Live</w:t>
            </w:r>
          </w:p>
        </w:tc>
      </w:tr>
      <w:tr>
        <w:trPr/>
        <w:tc>
          <w:tcPr>
            <w:tcW w:w="2380" w:type="dxa"/>
            <w:tcBorders/>
            <w:vAlign w:val="center"/>
          </w:tcPr>
          <w:p>
            <w:pPr>
              <w:pStyle w:val="TableContents"/>
              <w:widowControl w:val="false"/>
              <w:suppressLineNumbers/>
              <w:bidi w:val="0"/>
              <w:jc w:val="left"/>
              <w:rPr/>
            </w:pPr>
            <w:r>
              <w:rPr/>
              <w:t>1 — Movement Portal</w:t>
            </w:r>
          </w:p>
        </w:tc>
        <w:tc>
          <w:tcPr>
            <w:tcW w:w="3572" w:type="dxa"/>
            <w:tcBorders/>
            <w:vAlign w:val="center"/>
          </w:tcPr>
          <w:p>
            <w:pPr>
              <w:pStyle w:val="TableContents"/>
              <w:widowControl w:val="false"/>
              <w:suppressLineNumbers/>
              <w:bidi w:val="0"/>
              <w:jc w:val="left"/>
              <w:rPr/>
            </w:pPr>
            <w:r>
              <w:rPr/>
              <w:t>Sponsorship tiers, events/tours, diaspora map</w:t>
            </w:r>
          </w:p>
        </w:tc>
        <w:tc>
          <w:tcPr>
            <w:tcW w:w="2392" w:type="dxa"/>
            <w:tcBorders/>
            <w:vAlign w:val="center"/>
          </w:tcPr>
          <w:p>
            <w:pPr>
              <w:pStyle w:val="TableContents"/>
              <w:widowControl w:val="false"/>
              <w:suppressLineNumbers/>
              <w:bidi w:val="0"/>
              <w:jc w:val="left"/>
              <w:rPr/>
            </w:pPr>
            <w:r>
              <w:rPr/>
              <w:t>Sponsorships, tickets</w:t>
            </w:r>
          </w:p>
        </w:tc>
        <w:tc>
          <w:tcPr>
            <w:tcW w:w="1861" w:type="dxa"/>
            <w:tcBorders/>
            <w:vAlign w:val="center"/>
          </w:tcPr>
          <w:p>
            <w:pPr>
              <w:pStyle w:val="TableContents"/>
              <w:widowControl w:val="false"/>
              <w:suppressLineNumbers/>
              <w:bidi w:val="0"/>
              <w:jc w:val="left"/>
              <w:rPr/>
            </w:pPr>
            <w:r>
              <w:rPr/>
              <w:t>Specified; build next</w:t>
            </w:r>
          </w:p>
        </w:tc>
      </w:tr>
      <w:tr>
        <w:trPr/>
        <w:tc>
          <w:tcPr>
            <w:tcW w:w="2380" w:type="dxa"/>
            <w:tcBorders/>
            <w:vAlign w:val="center"/>
          </w:tcPr>
          <w:p>
            <w:pPr>
              <w:pStyle w:val="TableContents"/>
              <w:widowControl w:val="false"/>
              <w:suppressLineNumbers/>
              <w:bidi w:val="0"/>
              <w:jc w:val="left"/>
              <w:rPr/>
            </w:pPr>
            <w:r>
              <w:rPr/>
              <w:t>2 — Star Journey OS</w:t>
            </w:r>
          </w:p>
        </w:tc>
        <w:tc>
          <w:tcPr>
            <w:tcW w:w="3572" w:type="dxa"/>
            <w:tcBorders/>
            <w:vAlign w:val="center"/>
          </w:tcPr>
          <w:p>
            <w:pPr>
              <w:pStyle w:val="TableContents"/>
              <w:widowControl w:val="false"/>
              <w:suppressLineNumbers/>
              <w:bidi w:val="0"/>
              <w:jc w:val="left"/>
              <w:rPr/>
            </w:pPr>
            <w:r>
              <w:rPr/>
              <w:t>Assessment, coaching journeys, mentor matching</w:t>
            </w:r>
          </w:p>
        </w:tc>
        <w:tc>
          <w:tcPr>
            <w:tcW w:w="2392" w:type="dxa"/>
            <w:tcBorders/>
            <w:vAlign w:val="center"/>
          </w:tcPr>
          <w:p>
            <w:pPr>
              <w:pStyle w:val="TableContents"/>
              <w:widowControl w:val="false"/>
              <w:suppressLineNumbers/>
              <w:bidi w:val="0"/>
              <w:jc w:val="left"/>
              <w:rPr/>
            </w:pPr>
            <w:r>
              <w:rPr/>
              <w:t>Memberships, coaching</w:t>
            </w:r>
          </w:p>
        </w:tc>
        <w:tc>
          <w:tcPr>
            <w:tcW w:w="1861" w:type="dxa"/>
            <w:tcBorders/>
            <w:vAlign w:val="center"/>
          </w:tcPr>
          <w:p>
            <w:pPr>
              <w:pStyle w:val="TableContents"/>
              <w:widowControl w:val="false"/>
              <w:suppressLineNumbers/>
              <w:bidi w:val="0"/>
              <w:jc w:val="left"/>
              <w:rPr/>
            </w:pPr>
            <w:r>
              <w:rPr/>
              <w:t>Specified</w:t>
            </w:r>
          </w:p>
        </w:tc>
      </w:tr>
      <w:tr>
        <w:trPr/>
        <w:tc>
          <w:tcPr>
            <w:tcW w:w="2380" w:type="dxa"/>
            <w:tcBorders/>
            <w:vAlign w:val="center"/>
          </w:tcPr>
          <w:p>
            <w:pPr>
              <w:pStyle w:val="TableContents"/>
              <w:widowControl w:val="false"/>
              <w:suppressLineNumbers/>
              <w:bidi w:val="0"/>
              <w:jc w:val="left"/>
              <w:rPr/>
            </w:pPr>
            <w:r>
              <w:rPr/>
              <w:t>3 — DSTS Club</w:t>
            </w:r>
          </w:p>
        </w:tc>
        <w:tc>
          <w:tcPr>
            <w:tcW w:w="3572" w:type="dxa"/>
            <w:tcBorders/>
            <w:vAlign w:val="center"/>
          </w:tcPr>
          <w:p>
            <w:pPr>
              <w:pStyle w:val="TableContents"/>
              <w:widowControl w:val="false"/>
              <w:suppressLineNumbers/>
              <w:bidi w:val="0"/>
              <w:jc w:val="left"/>
              <w:rPr/>
            </w:pPr>
            <w:r>
              <w:rPr/>
              <w:t>Creator economy, talk shows, points/rewards</w:t>
            </w:r>
          </w:p>
        </w:tc>
        <w:tc>
          <w:tcPr>
            <w:tcW w:w="2392" w:type="dxa"/>
            <w:tcBorders/>
            <w:vAlign w:val="center"/>
          </w:tcPr>
          <w:p>
            <w:pPr>
              <w:pStyle w:val="TableContents"/>
              <w:widowControl w:val="false"/>
              <w:suppressLineNumbers/>
              <w:bidi w:val="0"/>
              <w:jc w:val="left"/>
              <w:rPr/>
            </w:pPr>
            <w:r>
              <w:rPr/>
              <w:t>Memberships, revenue share</w:t>
            </w:r>
          </w:p>
        </w:tc>
        <w:tc>
          <w:tcPr>
            <w:tcW w:w="1861" w:type="dxa"/>
            <w:tcBorders/>
            <w:vAlign w:val="center"/>
          </w:tcPr>
          <w:p>
            <w:pPr>
              <w:pStyle w:val="TableContents"/>
              <w:widowControl w:val="false"/>
              <w:suppressLineNumbers/>
              <w:bidi w:val="0"/>
              <w:jc w:val="left"/>
              <w:rPr/>
            </w:pPr>
            <w:r>
              <w:rPr/>
              <w:t>In development</w:t>
            </w:r>
          </w:p>
        </w:tc>
      </w:tr>
      <w:tr>
        <w:trPr/>
        <w:tc>
          <w:tcPr>
            <w:tcW w:w="2380" w:type="dxa"/>
            <w:tcBorders/>
            <w:vAlign w:val="center"/>
          </w:tcPr>
          <w:p>
            <w:pPr>
              <w:pStyle w:val="TableContents"/>
              <w:widowControl w:val="false"/>
              <w:suppressLineNumbers/>
              <w:bidi w:val="0"/>
              <w:jc w:val="left"/>
              <w:rPr/>
            </w:pPr>
            <w:r>
              <w:rPr/>
              <w:t>5 — Trust &amp; Legacy</w:t>
            </w:r>
          </w:p>
        </w:tc>
        <w:tc>
          <w:tcPr>
            <w:tcW w:w="3572" w:type="dxa"/>
            <w:tcBorders/>
            <w:vAlign w:val="center"/>
          </w:tcPr>
          <w:p>
            <w:pPr>
              <w:pStyle w:val="TableContents"/>
              <w:widowControl w:val="false"/>
              <w:suppressLineNumbers/>
              <w:bidi w:val="0"/>
              <w:jc w:val="left"/>
              <w:rPr/>
            </w:pPr>
            <w:r>
              <w:rPr/>
              <w:t>Verified identity, trust score, archives</w:t>
            </w:r>
          </w:p>
        </w:tc>
        <w:tc>
          <w:tcPr>
            <w:tcW w:w="2392" w:type="dxa"/>
            <w:tcBorders/>
            <w:vAlign w:val="center"/>
          </w:tcPr>
          <w:p>
            <w:pPr>
              <w:pStyle w:val="TableContents"/>
              <w:widowControl w:val="false"/>
              <w:suppressLineNumbers/>
              <w:bidi w:val="0"/>
              <w:jc w:val="left"/>
              <w:rPr/>
            </w:pPr>
            <w:r>
              <w:rPr/>
              <w:t>Premium archive packages</w:t>
            </w:r>
          </w:p>
        </w:tc>
        <w:tc>
          <w:tcPr>
            <w:tcW w:w="1861" w:type="dxa"/>
            <w:tcBorders/>
            <w:vAlign w:val="center"/>
          </w:tcPr>
          <w:p>
            <w:pPr>
              <w:pStyle w:val="TableContents"/>
              <w:widowControl w:val="false"/>
              <w:suppressLineNumbers/>
              <w:bidi w:val="0"/>
              <w:jc w:val="left"/>
              <w:rPr/>
            </w:pPr>
            <w:r>
              <w:rPr/>
              <w:t>Specified</w:t>
            </w:r>
          </w:p>
        </w:tc>
      </w:tr>
      <w:tr>
        <w:trPr/>
        <w:tc>
          <w:tcPr>
            <w:tcW w:w="2380" w:type="dxa"/>
            <w:tcBorders/>
            <w:vAlign w:val="center"/>
          </w:tcPr>
          <w:p>
            <w:pPr>
              <w:pStyle w:val="TableContents"/>
              <w:widowControl w:val="false"/>
              <w:suppressLineNumbers/>
              <w:bidi w:val="0"/>
              <w:jc w:val="left"/>
              <w:rPr/>
            </w:pPr>
            <w:r>
              <w:rPr/>
              <w:t>6 — Global Vietnamese Map</w:t>
            </w:r>
          </w:p>
        </w:tc>
        <w:tc>
          <w:tcPr>
            <w:tcW w:w="3572" w:type="dxa"/>
            <w:tcBorders/>
            <w:vAlign w:val="center"/>
          </w:tcPr>
          <w:p>
            <w:pPr>
              <w:pStyle w:val="TableContents"/>
              <w:widowControl w:val="false"/>
              <w:suppressLineNumbers/>
              <w:bidi w:val="0"/>
              <w:jc w:val="left"/>
              <w:rPr/>
            </w:pPr>
            <w:r>
              <w:rPr/>
              <w:t>Diaspora achiever network</w:t>
            </w:r>
          </w:p>
        </w:tc>
        <w:tc>
          <w:tcPr>
            <w:tcW w:w="2392" w:type="dxa"/>
            <w:tcBorders/>
            <w:vAlign w:val="center"/>
          </w:tcPr>
          <w:p>
            <w:pPr>
              <w:pStyle w:val="TableContents"/>
              <w:widowControl w:val="false"/>
              <w:suppressLineNumbers/>
              <w:bidi w:val="0"/>
              <w:jc w:val="left"/>
              <w:rPr/>
            </w:pPr>
            <w:r>
              <w:rPr/>
              <w:t>Free (network effect)</w:t>
            </w:r>
          </w:p>
        </w:tc>
        <w:tc>
          <w:tcPr>
            <w:tcW w:w="1861" w:type="dxa"/>
            <w:tcBorders/>
            <w:vAlign w:val="center"/>
          </w:tcPr>
          <w:p>
            <w:pPr>
              <w:pStyle w:val="TableContents"/>
              <w:widowControl w:val="false"/>
              <w:suppressLineNumbers/>
              <w:bidi w:val="0"/>
              <w:jc w:val="left"/>
              <w:rPr/>
            </w:pPr>
            <w:r>
              <w:rPr/>
              <w:t>Specified</w:t>
            </w:r>
          </w:p>
        </w:tc>
      </w:tr>
    </w:tbl>
    <w:p>
      <w:pPr>
        <w:pStyle w:val="Heading2sec"/>
        <w:bidi w:val="0"/>
        <w:jc w:val="left"/>
        <w:rPr/>
      </w:pPr>
      <w:r>
        <w:rPr/>
        <w:t>5. Business Model &amp; Revenue Streams</w:t>
      </w:r>
    </w:p>
    <w:p>
      <w:pPr>
        <w:pStyle w:val="BodyText"/>
        <w:bidi w:val="0"/>
        <w:jc w:val="left"/>
        <w:rPr/>
      </w:pPr>
      <w:r>
        <w:rPr/>
        <w:t xml:space="preserve">All figures USD primary; VND secondary at an indicative rate of </w:t>
      </w:r>
      <w:r>
        <w:rPr>
          <w:rStyle w:val="Strong"/>
        </w:rPr>
        <w:t>1 USD ≈ 25,400 VND</w:t>
      </w:r>
      <w:r>
        <w:rPr/>
        <w:t xml:space="preserve"> (June 2026).</w:t>
      </w:r>
    </w:p>
    <w:tbl>
      <w:tblPr>
        <w:tblW w:w="10205" w:type="dxa"/>
        <w:jc w:val="left"/>
        <w:tblInd w:w="28" w:type="dxa"/>
        <w:tblLayout w:type="fixed"/>
        <w:tblCellMar>
          <w:top w:w="28" w:type="dxa"/>
          <w:left w:w="28" w:type="dxa"/>
          <w:bottom w:w="28" w:type="dxa"/>
          <w:right w:w="28" w:type="dxa"/>
        </w:tblCellMar>
      </w:tblPr>
      <w:tblGrid>
        <w:gridCol w:w="3075"/>
        <w:gridCol w:w="3531"/>
        <w:gridCol w:w="3599"/>
      </w:tblGrid>
      <w:tr>
        <w:trPr/>
        <w:tc>
          <w:tcPr>
            <w:tcW w:w="3075" w:type="dxa"/>
            <w:tcBorders/>
            <w:vAlign w:val="center"/>
          </w:tcPr>
          <w:p>
            <w:pPr>
              <w:pStyle w:val="TableHeading"/>
              <w:suppressLineNumbers/>
              <w:shd w:fill="F2F4F8" w:val="clear"/>
              <w:bidi w:val="0"/>
              <w:jc w:val="left"/>
              <w:rPr/>
            </w:pPr>
            <w:r>
              <w:rPr/>
              <w:t>Stream</w:t>
            </w:r>
          </w:p>
        </w:tc>
        <w:tc>
          <w:tcPr>
            <w:tcW w:w="3531" w:type="dxa"/>
            <w:tcBorders/>
            <w:vAlign w:val="center"/>
          </w:tcPr>
          <w:p>
            <w:pPr>
              <w:pStyle w:val="TableHeading"/>
              <w:suppressLineNumbers/>
              <w:shd w:fill="F2F4F8" w:val="clear"/>
              <w:bidi w:val="0"/>
              <w:jc w:val="left"/>
              <w:rPr/>
            </w:pPr>
            <w:r>
              <w:rPr/>
              <w:t>Indicative price</w:t>
            </w:r>
          </w:p>
        </w:tc>
        <w:tc>
          <w:tcPr>
            <w:tcW w:w="3599" w:type="dxa"/>
            <w:tcBorders/>
            <w:vAlign w:val="center"/>
          </w:tcPr>
          <w:p>
            <w:pPr>
              <w:pStyle w:val="TableHeading"/>
              <w:suppressLineNumbers/>
              <w:shd w:fill="F2F4F8" w:val="clear"/>
              <w:bidi w:val="0"/>
              <w:jc w:val="left"/>
              <w:rPr/>
            </w:pPr>
            <w:r>
              <w:rPr/>
              <w:t>Platform economics</w:t>
            </w:r>
          </w:p>
        </w:tc>
      </w:tr>
      <w:tr>
        <w:trPr/>
        <w:tc>
          <w:tcPr>
            <w:tcW w:w="3075" w:type="dxa"/>
            <w:tcBorders/>
            <w:vAlign w:val="center"/>
          </w:tcPr>
          <w:p>
            <w:pPr>
              <w:pStyle w:val="TableContents"/>
              <w:widowControl w:val="false"/>
              <w:suppressLineNumbers/>
              <w:bidi w:val="0"/>
              <w:jc w:val="left"/>
              <w:rPr/>
            </w:pPr>
            <w:r>
              <w:rPr/>
              <w:t>Membership (Member / Circle / Inner Circle)</w:t>
            </w:r>
          </w:p>
        </w:tc>
        <w:tc>
          <w:tcPr>
            <w:tcW w:w="3531" w:type="dxa"/>
            <w:tcBorders/>
            <w:vAlign w:val="center"/>
          </w:tcPr>
          <w:p>
            <w:pPr>
              <w:pStyle w:val="TableContents"/>
              <w:widowControl w:val="false"/>
              <w:suppressLineNumbers/>
              <w:bidi w:val="0"/>
              <w:jc w:val="left"/>
              <w:rPr/>
            </w:pPr>
            <w:r>
              <w:rPr/>
              <w:t>USD 5 / 15 / 49 per month (≈99K / 299K / 990K VND)</w:t>
            </w:r>
          </w:p>
        </w:tc>
        <w:tc>
          <w:tcPr>
            <w:tcW w:w="3599" w:type="dxa"/>
            <w:tcBorders/>
            <w:vAlign w:val="center"/>
          </w:tcPr>
          <w:p>
            <w:pPr>
              <w:pStyle w:val="TableContents"/>
              <w:widowControl w:val="false"/>
              <w:suppressLineNumbers/>
              <w:bidi w:val="0"/>
              <w:jc w:val="left"/>
              <w:rPr/>
            </w:pPr>
            <w:r>
              <w:rPr/>
              <w:t>50% platform · 30% creator pool · 20% growth/reserve</w:t>
            </w:r>
          </w:p>
        </w:tc>
      </w:tr>
      <w:tr>
        <w:trPr/>
        <w:tc>
          <w:tcPr>
            <w:tcW w:w="3075" w:type="dxa"/>
            <w:tcBorders/>
            <w:vAlign w:val="center"/>
          </w:tcPr>
          <w:p>
            <w:pPr>
              <w:pStyle w:val="TableContents"/>
              <w:widowControl w:val="false"/>
              <w:suppressLineNumbers/>
              <w:bidi w:val="0"/>
              <w:jc w:val="left"/>
              <w:rPr/>
            </w:pPr>
            <w:r>
              <w:rPr/>
              <w:t>Coaching (Script Journey)</w:t>
            </w:r>
          </w:p>
        </w:tc>
        <w:tc>
          <w:tcPr>
            <w:tcW w:w="3531" w:type="dxa"/>
            <w:tcBorders/>
            <w:vAlign w:val="center"/>
          </w:tcPr>
          <w:p>
            <w:pPr>
              <w:pStyle w:val="TableContents"/>
              <w:widowControl w:val="false"/>
              <w:suppressLineNumbers/>
              <w:bidi w:val="0"/>
              <w:jc w:val="left"/>
              <w:rPr/>
            </w:pPr>
            <w:r>
              <w:rPr/>
              <w:t>USD 99 – 25,000 per engagement</w:t>
            </w:r>
          </w:p>
        </w:tc>
        <w:tc>
          <w:tcPr>
            <w:tcW w:w="3599" w:type="dxa"/>
            <w:tcBorders/>
            <w:vAlign w:val="center"/>
          </w:tcPr>
          <w:p>
            <w:pPr>
              <w:pStyle w:val="TableContents"/>
              <w:widowControl w:val="false"/>
              <w:suppressLineNumbers/>
              <w:bidi w:val="0"/>
              <w:jc w:val="left"/>
              <w:rPr/>
            </w:pPr>
            <w:r>
              <w:rPr/>
              <w:t>Platform fee + creator split</w:t>
            </w:r>
          </w:p>
        </w:tc>
      </w:tr>
      <w:tr>
        <w:trPr/>
        <w:tc>
          <w:tcPr>
            <w:tcW w:w="3075" w:type="dxa"/>
            <w:tcBorders/>
            <w:vAlign w:val="center"/>
          </w:tcPr>
          <w:p>
            <w:pPr>
              <w:pStyle w:val="TableContents"/>
              <w:widowControl w:val="false"/>
              <w:suppressLineNumbers/>
              <w:bidi w:val="0"/>
              <w:jc w:val="left"/>
              <w:rPr/>
            </w:pPr>
            <w:r>
              <w:rPr/>
              <w:t>Talk shows / premium experiences</w:t>
            </w:r>
          </w:p>
        </w:tc>
        <w:tc>
          <w:tcPr>
            <w:tcW w:w="3531" w:type="dxa"/>
            <w:tcBorders/>
            <w:vAlign w:val="center"/>
          </w:tcPr>
          <w:p>
            <w:pPr>
              <w:pStyle w:val="TableContents"/>
              <w:widowControl w:val="false"/>
              <w:suppressLineNumbers/>
              <w:bidi w:val="0"/>
              <w:jc w:val="left"/>
              <w:rPr/>
            </w:pPr>
            <w:r>
              <w:rPr/>
              <w:t>Event-based</w:t>
            </w:r>
          </w:p>
        </w:tc>
        <w:tc>
          <w:tcPr>
            <w:tcW w:w="3599" w:type="dxa"/>
            <w:tcBorders/>
            <w:vAlign w:val="center"/>
          </w:tcPr>
          <w:p>
            <w:pPr>
              <w:pStyle w:val="TableContents"/>
              <w:widowControl w:val="false"/>
              <w:suppressLineNumbers/>
              <w:bidi w:val="0"/>
              <w:jc w:val="left"/>
              <w:rPr/>
            </w:pPr>
            <w:r>
              <w:rPr/>
              <w:t>60/40 (talk shows) · 70/30 (premium) creator-favorable</w:t>
            </w:r>
          </w:p>
        </w:tc>
      </w:tr>
      <w:tr>
        <w:trPr/>
        <w:tc>
          <w:tcPr>
            <w:tcW w:w="3075" w:type="dxa"/>
            <w:tcBorders/>
            <w:vAlign w:val="center"/>
          </w:tcPr>
          <w:p>
            <w:pPr>
              <w:pStyle w:val="TableContents"/>
              <w:widowControl w:val="false"/>
              <w:suppressLineNumbers/>
              <w:bidi w:val="0"/>
              <w:jc w:val="left"/>
              <w:rPr/>
            </w:pPr>
            <w:r>
              <w:rPr/>
              <w:t>Commercial sponsorships</w:t>
            </w:r>
          </w:p>
        </w:tc>
        <w:tc>
          <w:tcPr>
            <w:tcW w:w="3531" w:type="dxa"/>
            <w:tcBorders/>
            <w:vAlign w:val="center"/>
          </w:tcPr>
          <w:p>
            <w:pPr>
              <w:pStyle w:val="TableContents"/>
              <w:widowControl w:val="false"/>
              <w:suppressLineNumbers/>
              <w:bidi w:val="0"/>
              <w:jc w:val="left"/>
              <w:rPr/>
            </w:pPr>
            <w:r>
              <w:rPr/>
              <w:t>USD 10 – 10,000+ / month (tiered)</w:t>
            </w:r>
          </w:p>
        </w:tc>
        <w:tc>
          <w:tcPr>
            <w:tcW w:w="3599" w:type="dxa"/>
            <w:tcBorders/>
            <w:vAlign w:val="center"/>
          </w:tcPr>
          <w:p>
            <w:pPr>
              <w:pStyle w:val="TableContents"/>
              <w:widowControl w:val="false"/>
              <w:suppressLineNumbers/>
              <w:bidi w:val="0"/>
              <w:jc w:val="left"/>
              <w:rPr/>
            </w:pPr>
            <w:r>
              <w:rPr/>
              <w:t>100% platform</w:t>
            </w:r>
          </w:p>
        </w:tc>
      </w:tr>
      <w:tr>
        <w:trPr/>
        <w:tc>
          <w:tcPr>
            <w:tcW w:w="3075" w:type="dxa"/>
            <w:tcBorders/>
            <w:vAlign w:val="center"/>
          </w:tcPr>
          <w:p>
            <w:pPr>
              <w:pStyle w:val="TableContents"/>
              <w:widowControl w:val="false"/>
              <w:suppressLineNumbers/>
              <w:bidi w:val="0"/>
              <w:jc w:val="left"/>
              <w:rPr/>
            </w:pPr>
            <w:r>
              <w:rPr/>
              <w:t>Points / digital products</w:t>
            </w:r>
          </w:p>
        </w:tc>
        <w:tc>
          <w:tcPr>
            <w:tcW w:w="3531" w:type="dxa"/>
            <w:tcBorders/>
            <w:vAlign w:val="center"/>
          </w:tcPr>
          <w:p>
            <w:pPr>
              <w:pStyle w:val="TableContents"/>
              <w:widowControl w:val="false"/>
              <w:suppressLineNumbers/>
              <w:bidi w:val="0"/>
              <w:jc w:val="left"/>
              <w:rPr/>
            </w:pPr>
            <w:r>
              <w:rPr/>
              <w:t>USD 19 – 999</w:t>
            </w:r>
          </w:p>
        </w:tc>
        <w:tc>
          <w:tcPr>
            <w:tcW w:w="3599" w:type="dxa"/>
            <w:tcBorders/>
            <w:vAlign w:val="center"/>
          </w:tcPr>
          <w:p>
            <w:pPr>
              <w:pStyle w:val="TableContents"/>
              <w:widowControl w:val="false"/>
              <w:suppressLineNumbers/>
              <w:bidi w:val="0"/>
              <w:jc w:val="left"/>
              <w:rPr/>
            </w:pPr>
            <w:r>
              <w:rPr/>
              <w:t>Loyalty &amp; margin</w:t>
            </w:r>
          </w:p>
        </w:tc>
      </w:tr>
      <w:tr>
        <w:trPr/>
        <w:tc>
          <w:tcPr>
            <w:tcW w:w="3075" w:type="dxa"/>
            <w:tcBorders/>
            <w:vAlign w:val="center"/>
          </w:tcPr>
          <w:p>
            <w:pPr>
              <w:pStyle w:val="TableContents"/>
              <w:widowControl w:val="false"/>
              <w:suppressLineNumbers/>
              <w:bidi w:val="0"/>
              <w:jc w:val="left"/>
              <w:rPr/>
            </w:pPr>
            <w:r>
              <w:rPr/>
              <w:t>Donations (Lane B, non-profit)</w:t>
            </w:r>
          </w:p>
        </w:tc>
        <w:tc>
          <w:tcPr>
            <w:tcW w:w="3531" w:type="dxa"/>
            <w:tcBorders/>
            <w:vAlign w:val="center"/>
          </w:tcPr>
          <w:p>
            <w:pPr>
              <w:pStyle w:val="TableContents"/>
              <w:widowControl w:val="false"/>
              <w:suppressLineNumbers/>
              <w:bidi w:val="0"/>
              <w:jc w:val="left"/>
              <w:rPr/>
            </w:pPr>
            <w:r>
              <w:rPr/>
              <w:t>Voluntary</w:t>
            </w:r>
          </w:p>
        </w:tc>
        <w:tc>
          <w:tcPr>
            <w:tcW w:w="3599" w:type="dxa"/>
            <w:tcBorders/>
            <w:vAlign w:val="center"/>
          </w:tcPr>
          <w:p>
            <w:pPr>
              <w:pStyle w:val="TableContents"/>
              <w:widowControl w:val="false"/>
              <w:suppressLineNumbers/>
              <w:bidi w:val="0"/>
              <w:jc w:val="left"/>
              <w:rPr/>
            </w:pPr>
            <w:r>
              <w:rPr/>
              <w:t>100% to non-profit lane — not platform revenue</w:t>
            </w:r>
          </w:p>
        </w:tc>
      </w:tr>
    </w:tbl>
    <w:p>
      <w:pPr>
        <w:pStyle w:val="Heading2sec"/>
        <w:bidi w:val="0"/>
        <w:jc w:val="left"/>
        <w:rPr/>
      </w:pPr>
      <w:r>
        <w:rPr/>
        <w:t>6. Traction &amp; Current State (honest)</w:t>
      </w:r>
    </w:p>
    <w:p>
      <w:pPr>
        <w:pStyle w:val="BodyText"/>
        <w:numPr>
          <w:ilvl w:val="0"/>
          <w:numId w:val="1"/>
        </w:numPr>
        <w:tabs>
          <w:tab w:val="clear" w:pos="709"/>
          <w:tab w:val="left" w:pos="829" w:leader="none"/>
        </w:tabs>
        <w:bidi w:val="0"/>
        <w:spacing w:before="120" w:after="0"/>
        <w:ind w:hanging="283" w:left="829"/>
        <w:jc w:val="left"/>
        <w:rPr/>
      </w:pPr>
      <w:r>
        <w:rPr>
          <w:rStyle w:val="Strong"/>
        </w:rPr>
        <w:t>Live:</w:t>
      </w:r>
      <w:r>
        <w:rPr/>
        <w:t xml:space="preserve"> public website in production; 35+ pages; bilingual content &amp; SEO; database schema (10+ migrations); core APIs; payment integration ~80% ready. </w:t>
      </w:r>
    </w:p>
    <w:p>
      <w:pPr>
        <w:pStyle w:val="BodyText"/>
        <w:numPr>
          <w:ilvl w:val="0"/>
          <w:numId w:val="1"/>
        </w:numPr>
        <w:tabs>
          <w:tab w:val="clear" w:pos="709"/>
          <w:tab w:val="left" w:pos="829" w:leader="none"/>
        </w:tabs>
        <w:bidi w:val="0"/>
        <w:spacing w:before="120" w:after="0"/>
        <w:ind w:hanging="283" w:left="829"/>
        <w:jc w:val="left"/>
        <w:rPr/>
      </w:pPr>
      <w:r>
        <w:rPr>
          <w:rStyle w:val="Strong"/>
        </w:rPr>
        <w:t>Not yet:</w:t>
      </w:r>
      <w:r>
        <w:rPr/>
        <w:t xml:space="preserve"> no material user, donor, sponsor, or revenue traction to date. Monetizing layers not launched. </w:t>
      </w:r>
    </w:p>
    <w:p>
      <w:pPr>
        <w:pStyle w:val="BodyText"/>
        <w:numPr>
          <w:ilvl w:val="0"/>
          <w:numId w:val="1"/>
        </w:numPr>
        <w:tabs>
          <w:tab w:val="clear" w:pos="709"/>
          <w:tab w:val="left" w:pos="829" w:leader="none"/>
        </w:tabs>
        <w:bidi w:val="0"/>
        <w:ind w:hanging="283" w:left="829"/>
        <w:jc w:val="left"/>
        <w:rPr/>
      </w:pPr>
      <w:r>
        <w:rPr>
          <w:rStyle w:val="Strong"/>
        </w:rPr>
        <w:t>Implication:</w:t>
      </w:r>
      <w:r>
        <w:rPr/>
        <w:t xml:space="preserve"> this is a vision/early-execution round. Investors are underwriting the team, market, and roadmap — not historical revenue. </w:t>
      </w:r>
    </w:p>
    <w:p>
      <w:pPr>
        <w:pStyle w:val="Heading2sec"/>
        <w:bidi w:val="0"/>
        <w:jc w:val="left"/>
        <w:rPr/>
      </w:pPr>
      <w:r>
        <w:rPr/>
        <w:t>7. Market Sizing (TAM / SAM / SOM)</w:t>
      </w:r>
    </w:p>
    <w:tbl>
      <w:tblPr>
        <w:tblW w:w="10205" w:type="dxa"/>
        <w:jc w:val="left"/>
        <w:tblInd w:w="28" w:type="dxa"/>
        <w:tblLayout w:type="fixed"/>
        <w:tblCellMar>
          <w:top w:w="28" w:type="dxa"/>
          <w:left w:w="28" w:type="dxa"/>
          <w:bottom w:w="28" w:type="dxa"/>
          <w:right w:w="28" w:type="dxa"/>
        </w:tblCellMar>
      </w:tblPr>
      <w:tblGrid>
        <w:gridCol w:w="898"/>
        <w:gridCol w:w="2677"/>
        <w:gridCol w:w="3440"/>
        <w:gridCol w:w="3190"/>
      </w:tblGrid>
      <w:tr>
        <w:trPr/>
        <w:tc>
          <w:tcPr>
            <w:tcW w:w="898" w:type="dxa"/>
            <w:tcBorders/>
            <w:vAlign w:val="center"/>
          </w:tcPr>
          <w:p>
            <w:pPr>
              <w:pStyle w:val="TableHeading"/>
              <w:suppressLineNumbers/>
              <w:shd w:fill="F2F4F8" w:val="clear"/>
              <w:bidi w:val="0"/>
              <w:jc w:val="left"/>
              <w:rPr/>
            </w:pPr>
            <w:r>
              <w:rPr/>
              <w:t>Layer</w:t>
            </w:r>
          </w:p>
        </w:tc>
        <w:tc>
          <w:tcPr>
            <w:tcW w:w="2677" w:type="dxa"/>
            <w:tcBorders/>
            <w:vAlign w:val="center"/>
          </w:tcPr>
          <w:p>
            <w:pPr>
              <w:pStyle w:val="TableHeading"/>
              <w:suppressLineNumbers/>
              <w:shd w:fill="F2F4F8" w:val="clear"/>
              <w:bidi w:val="0"/>
              <w:jc w:val="left"/>
              <w:rPr/>
            </w:pPr>
            <w:r>
              <w:rPr/>
              <w:t>Definition</w:t>
            </w:r>
          </w:p>
        </w:tc>
        <w:tc>
          <w:tcPr>
            <w:tcW w:w="3440" w:type="dxa"/>
            <w:tcBorders/>
            <w:vAlign w:val="center"/>
          </w:tcPr>
          <w:p>
            <w:pPr>
              <w:pStyle w:val="TableHeading"/>
              <w:suppressLineNumbers/>
              <w:shd w:fill="F2F4F8" w:val="clear"/>
              <w:bidi w:val="0"/>
              <w:jc w:val="left"/>
              <w:rPr/>
            </w:pPr>
            <w:r>
              <w:rPr/>
              <w:t>Estimate</w:t>
            </w:r>
          </w:p>
        </w:tc>
        <w:tc>
          <w:tcPr>
            <w:tcW w:w="3190" w:type="dxa"/>
            <w:tcBorders/>
            <w:vAlign w:val="center"/>
          </w:tcPr>
          <w:p>
            <w:pPr>
              <w:pStyle w:val="TableHeading"/>
              <w:suppressLineNumbers/>
              <w:shd w:fill="F2F4F8" w:val="clear"/>
              <w:bidi w:val="0"/>
              <w:jc w:val="left"/>
              <w:rPr/>
            </w:pPr>
            <w:r>
              <w:rPr/>
              <w:t>Basis (assumption)</w:t>
            </w:r>
          </w:p>
        </w:tc>
      </w:tr>
      <w:tr>
        <w:trPr/>
        <w:tc>
          <w:tcPr>
            <w:tcW w:w="898" w:type="dxa"/>
            <w:tcBorders/>
            <w:vAlign w:val="center"/>
          </w:tcPr>
          <w:p>
            <w:pPr>
              <w:pStyle w:val="TableContents"/>
              <w:widowControl w:val="false"/>
              <w:suppressLineNumbers/>
              <w:bidi w:val="0"/>
              <w:jc w:val="left"/>
              <w:rPr/>
            </w:pPr>
            <w:r>
              <w:rPr/>
              <w:t>TAM</w:t>
            </w:r>
          </w:p>
        </w:tc>
        <w:tc>
          <w:tcPr>
            <w:tcW w:w="2677" w:type="dxa"/>
            <w:tcBorders/>
            <w:vAlign w:val="center"/>
          </w:tcPr>
          <w:p>
            <w:pPr>
              <w:pStyle w:val="TableContents"/>
              <w:widowControl w:val="false"/>
              <w:suppressLineNumbers/>
              <w:bidi w:val="0"/>
              <w:jc w:val="left"/>
              <w:rPr/>
            </w:pPr>
            <w:r>
              <w:rPr/>
              <w:t>Global Vietnamese diaspora &amp; talent value pools</w:t>
            </w:r>
          </w:p>
        </w:tc>
        <w:tc>
          <w:tcPr>
            <w:tcW w:w="3440" w:type="dxa"/>
            <w:tcBorders/>
            <w:vAlign w:val="center"/>
          </w:tcPr>
          <w:p>
            <w:pPr>
              <w:pStyle w:val="TableContents"/>
              <w:widowControl w:val="false"/>
              <w:suppressLineNumbers/>
              <w:bidi w:val="0"/>
              <w:jc w:val="left"/>
              <w:rPr/>
            </w:pPr>
            <w:r>
              <w:rPr/>
              <w:t>USD 10B+ adjacent (coaching/diaspora-giving); 5.3M diaspora; ~USD 18B/yr remittances</w:t>
            </w:r>
          </w:p>
        </w:tc>
        <w:tc>
          <w:tcPr>
            <w:tcW w:w="3190" w:type="dxa"/>
            <w:tcBorders/>
            <w:vAlign w:val="center"/>
          </w:tcPr>
          <w:p>
            <w:pPr>
              <w:pStyle w:val="TableContents"/>
              <w:widowControl w:val="false"/>
              <w:suppressLineNumbers/>
              <w:bidi w:val="0"/>
              <w:jc w:val="left"/>
              <w:rPr/>
            </w:pPr>
            <w:r>
              <w:rPr/>
              <w:t>Public diaspora &amp; remittance figures; global coaching market</w:t>
            </w:r>
          </w:p>
        </w:tc>
      </w:tr>
      <w:tr>
        <w:trPr/>
        <w:tc>
          <w:tcPr>
            <w:tcW w:w="898" w:type="dxa"/>
            <w:tcBorders/>
            <w:vAlign w:val="center"/>
          </w:tcPr>
          <w:p>
            <w:pPr>
              <w:pStyle w:val="TableContents"/>
              <w:widowControl w:val="false"/>
              <w:suppressLineNumbers/>
              <w:bidi w:val="0"/>
              <w:jc w:val="left"/>
              <w:rPr/>
            </w:pPr>
            <w:r>
              <w:rPr/>
              <w:t>SAM</w:t>
            </w:r>
          </w:p>
        </w:tc>
        <w:tc>
          <w:tcPr>
            <w:tcW w:w="2677" w:type="dxa"/>
            <w:tcBorders/>
            <w:vAlign w:val="center"/>
          </w:tcPr>
          <w:p>
            <w:pPr>
              <w:pStyle w:val="TableContents"/>
              <w:widowControl w:val="false"/>
              <w:suppressLineNumbers/>
              <w:bidi w:val="0"/>
              <w:jc w:val="left"/>
              <w:rPr/>
            </w:pPr>
            <w:r>
              <w:rPr/>
              <w:t>Digitally-active diaspora willing to sponsor/learn + VN creators</w:t>
            </w:r>
          </w:p>
        </w:tc>
        <w:tc>
          <w:tcPr>
            <w:tcW w:w="3440" w:type="dxa"/>
            <w:tcBorders/>
            <w:vAlign w:val="center"/>
          </w:tcPr>
          <w:p>
            <w:pPr>
              <w:pStyle w:val="TableContents"/>
              <w:widowControl w:val="false"/>
              <w:suppressLineNumbers/>
              <w:bidi w:val="0"/>
              <w:jc w:val="left"/>
              <w:rPr/>
            </w:pPr>
            <w:r>
              <w:rPr/>
              <w:t>USD 300–600M annual served market</w:t>
            </w:r>
          </w:p>
        </w:tc>
        <w:tc>
          <w:tcPr>
            <w:tcW w:w="3190" w:type="dxa"/>
            <w:tcBorders/>
            <w:vAlign w:val="center"/>
          </w:tcPr>
          <w:p>
            <w:pPr>
              <w:pStyle w:val="TableContents"/>
              <w:widowControl w:val="false"/>
              <w:suppressLineNumbers/>
              <w:bidi w:val="0"/>
              <w:jc w:val="left"/>
              <w:rPr/>
            </w:pPr>
            <w:r>
              <w:rPr/>
              <w:t>Assume 8–12% of diaspora digitally reachable &amp; spending USD 50–150/yr equivalent</w:t>
            </w:r>
          </w:p>
        </w:tc>
      </w:tr>
      <w:tr>
        <w:trPr/>
        <w:tc>
          <w:tcPr>
            <w:tcW w:w="898" w:type="dxa"/>
            <w:tcBorders/>
            <w:vAlign w:val="center"/>
          </w:tcPr>
          <w:p>
            <w:pPr>
              <w:pStyle w:val="TableContents"/>
              <w:widowControl w:val="false"/>
              <w:suppressLineNumbers/>
              <w:bidi w:val="0"/>
              <w:jc w:val="left"/>
              <w:rPr/>
            </w:pPr>
            <w:r>
              <w:rPr/>
              <w:t>SOM (3–5 yr)</w:t>
            </w:r>
          </w:p>
        </w:tc>
        <w:tc>
          <w:tcPr>
            <w:tcW w:w="2677" w:type="dxa"/>
            <w:tcBorders/>
            <w:vAlign w:val="center"/>
          </w:tcPr>
          <w:p>
            <w:pPr>
              <w:pStyle w:val="TableContents"/>
              <w:widowControl w:val="false"/>
              <w:suppressLineNumbers/>
              <w:bidi w:val="0"/>
              <w:jc w:val="left"/>
              <w:rPr/>
            </w:pPr>
            <w:r>
              <w:rPr/>
              <w:t>Realistic near-term capture</w:t>
            </w:r>
          </w:p>
        </w:tc>
        <w:tc>
          <w:tcPr>
            <w:tcW w:w="3440" w:type="dxa"/>
            <w:tcBorders/>
            <w:vAlign w:val="center"/>
          </w:tcPr>
          <w:p>
            <w:pPr>
              <w:pStyle w:val="TableContents"/>
              <w:widowControl w:val="false"/>
              <w:suppressLineNumbers/>
              <w:bidi w:val="0"/>
              <w:jc w:val="left"/>
              <w:rPr/>
            </w:pPr>
            <w:r>
              <w:rPr/>
              <w:t>USD 5–15M annual</w:t>
            </w:r>
          </w:p>
        </w:tc>
        <w:tc>
          <w:tcPr>
            <w:tcW w:w="3190" w:type="dxa"/>
            <w:tcBorders/>
            <w:vAlign w:val="center"/>
          </w:tcPr>
          <w:p>
            <w:pPr>
              <w:pStyle w:val="TableContents"/>
              <w:widowControl w:val="false"/>
              <w:suppressLineNumbers/>
              <w:bidi w:val="0"/>
              <w:jc w:val="left"/>
              <w:rPr/>
            </w:pPr>
            <w:r>
              <w:rPr/>
              <w:t>Low single-digit % of SAM with disciplined CAC</w:t>
            </w:r>
          </w:p>
        </w:tc>
      </w:tr>
    </w:tbl>
    <w:p>
      <w:pPr>
        <w:pStyle w:val="BodyText"/>
        <w:bidi w:val="0"/>
        <w:jc w:val="left"/>
        <w:rPr/>
      </w:pPr>
      <w:r>
        <w:rPr/>
        <w:t>TAM/SAM/SOM are estimates derived from publicly cited diaspora and market figures and stated capture assumptions; they are not guarantees.</w:t>
      </w:r>
    </w:p>
    <w:p>
      <w:pPr>
        <w:pStyle w:val="Heading2sec"/>
        <w:bidi w:val="0"/>
        <w:jc w:val="left"/>
        <w:rPr/>
      </w:pPr>
      <w:r>
        <w:rPr/>
        <w:t>8. Valuation — now, 6 months, 1 year, 2 years</w:t>
      </w:r>
    </w:p>
    <w:tbl>
      <w:tblPr>
        <w:tblW w:w="10205" w:type="dxa"/>
        <w:jc w:val="left"/>
        <w:tblInd w:w="28" w:type="dxa"/>
        <w:tblLayout w:type="fixed"/>
        <w:tblCellMar>
          <w:top w:w="28" w:type="dxa"/>
          <w:left w:w="28" w:type="dxa"/>
          <w:bottom w:w="28" w:type="dxa"/>
          <w:right w:w="28" w:type="dxa"/>
        </w:tblCellMar>
      </w:tblPr>
      <w:tblGrid>
        <w:gridCol w:w="3434"/>
        <w:gridCol w:w="2509"/>
        <w:gridCol w:w="4262"/>
      </w:tblGrid>
      <w:tr>
        <w:trPr/>
        <w:tc>
          <w:tcPr>
            <w:tcW w:w="3434" w:type="dxa"/>
            <w:tcBorders/>
            <w:vAlign w:val="center"/>
          </w:tcPr>
          <w:p>
            <w:pPr>
              <w:pStyle w:val="TableHeading"/>
              <w:suppressLineNumbers/>
              <w:shd w:fill="F2F4F8" w:val="clear"/>
              <w:bidi w:val="0"/>
              <w:jc w:val="left"/>
              <w:rPr/>
            </w:pPr>
            <w:r>
              <w:rPr/>
              <w:t>Horizon</w:t>
            </w:r>
          </w:p>
        </w:tc>
        <w:tc>
          <w:tcPr>
            <w:tcW w:w="2509" w:type="dxa"/>
            <w:tcBorders/>
            <w:vAlign w:val="center"/>
          </w:tcPr>
          <w:p>
            <w:pPr>
              <w:pStyle w:val="TableHeading"/>
              <w:suppressLineNumbers/>
              <w:shd w:fill="F2F4F8" w:val="clear"/>
              <w:bidi w:val="0"/>
              <w:jc w:val="left"/>
              <w:rPr/>
            </w:pPr>
            <w:r>
              <w:rPr/>
              <w:t>Indicative valuation (USD)</w:t>
            </w:r>
          </w:p>
        </w:tc>
        <w:tc>
          <w:tcPr>
            <w:tcW w:w="4262" w:type="dxa"/>
            <w:tcBorders/>
            <w:vAlign w:val="center"/>
          </w:tcPr>
          <w:p>
            <w:pPr>
              <w:pStyle w:val="TableHeading"/>
              <w:suppressLineNumbers/>
              <w:shd w:fill="F2F4F8" w:val="clear"/>
              <w:bidi w:val="0"/>
              <w:jc w:val="left"/>
              <w:rPr/>
            </w:pPr>
            <w:r>
              <w:rPr/>
              <w:t>Method</w:t>
            </w:r>
          </w:p>
        </w:tc>
      </w:tr>
      <w:tr>
        <w:trPr/>
        <w:tc>
          <w:tcPr>
            <w:tcW w:w="3434" w:type="dxa"/>
            <w:tcBorders/>
            <w:vAlign w:val="center"/>
          </w:tcPr>
          <w:p>
            <w:pPr>
              <w:pStyle w:val="TableContents"/>
              <w:widowControl w:val="false"/>
              <w:suppressLineNumbers/>
              <w:bidi w:val="0"/>
              <w:jc w:val="left"/>
              <w:rPr/>
            </w:pPr>
            <w:r>
              <w:rPr/>
              <w:t>Now (pre-revenue)</w:t>
            </w:r>
          </w:p>
        </w:tc>
        <w:tc>
          <w:tcPr>
            <w:tcW w:w="2509" w:type="dxa"/>
            <w:tcBorders/>
            <w:vAlign w:val="center"/>
          </w:tcPr>
          <w:p>
            <w:pPr>
              <w:pStyle w:val="TableContents"/>
              <w:widowControl w:val="false"/>
              <w:suppressLineNumbers/>
              <w:bidi w:val="0"/>
              <w:jc w:val="left"/>
              <w:rPr/>
            </w:pPr>
            <w:r>
              <w:rPr/>
              <w:t>50K – 150K</w:t>
            </w:r>
          </w:p>
        </w:tc>
        <w:tc>
          <w:tcPr>
            <w:tcW w:w="4262" w:type="dxa"/>
            <w:tcBorders/>
            <w:vAlign w:val="center"/>
          </w:tcPr>
          <w:p>
            <w:pPr>
              <w:pStyle w:val="TableContents"/>
              <w:widowControl w:val="false"/>
              <w:suppressLineNumbers/>
              <w:bidi w:val="0"/>
              <w:jc w:val="left"/>
              <w:rPr/>
            </w:pPr>
            <w:r>
              <w:rPr/>
              <w:t>Asset/IP-based (codebase, brand, domain)</w:t>
            </w:r>
          </w:p>
        </w:tc>
      </w:tr>
      <w:tr>
        <w:trPr/>
        <w:tc>
          <w:tcPr>
            <w:tcW w:w="3434" w:type="dxa"/>
            <w:tcBorders/>
            <w:vAlign w:val="center"/>
          </w:tcPr>
          <w:p>
            <w:pPr>
              <w:pStyle w:val="TableContents"/>
              <w:widowControl w:val="false"/>
              <w:suppressLineNumbers/>
              <w:bidi w:val="0"/>
              <w:jc w:val="left"/>
              <w:rPr/>
            </w:pPr>
            <w:r>
              <w:rPr/>
              <w:t>+6 months (post legal + donations live)</w:t>
            </w:r>
          </w:p>
        </w:tc>
        <w:tc>
          <w:tcPr>
            <w:tcW w:w="2509" w:type="dxa"/>
            <w:tcBorders/>
            <w:vAlign w:val="center"/>
          </w:tcPr>
          <w:p>
            <w:pPr>
              <w:pStyle w:val="TableContents"/>
              <w:widowControl w:val="false"/>
              <w:suppressLineNumbers/>
              <w:bidi w:val="0"/>
              <w:jc w:val="left"/>
              <w:rPr/>
            </w:pPr>
            <w:r>
              <w:rPr/>
              <w:t>150K – 400K</w:t>
            </w:r>
          </w:p>
        </w:tc>
        <w:tc>
          <w:tcPr>
            <w:tcW w:w="4262" w:type="dxa"/>
            <w:tcBorders/>
            <w:vAlign w:val="center"/>
          </w:tcPr>
          <w:p>
            <w:pPr>
              <w:pStyle w:val="TableContents"/>
              <w:widowControl w:val="false"/>
              <w:suppressLineNumbers/>
              <w:bidi w:val="0"/>
              <w:jc w:val="left"/>
              <w:rPr/>
            </w:pPr>
            <w:r>
              <w:rPr/>
              <w:t>Asset + early activation</w:t>
            </w:r>
          </w:p>
        </w:tc>
      </w:tr>
      <w:tr>
        <w:trPr/>
        <w:tc>
          <w:tcPr>
            <w:tcW w:w="3434" w:type="dxa"/>
            <w:tcBorders/>
            <w:vAlign w:val="center"/>
          </w:tcPr>
          <w:p>
            <w:pPr>
              <w:pStyle w:val="TableContents"/>
              <w:widowControl w:val="false"/>
              <w:suppressLineNumbers/>
              <w:bidi w:val="0"/>
              <w:jc w:val="left"/>
              <w:rPr/>
            </w:pPr>
            <w:r>
              <w:rPr/>
              <w:t>+1 year (Layer 1, first sponsors)</w:t>
            </w:r>
          </w:p>
        </w:tc>
        <w:tc>
          <w:tcPr>
            <w:tcW w:w="2509" w:type="dxa"/>
            <w:tcBorders/>
            <w:vAlign w:val="center"/>
          </w:tcPr>
          <w:p>
            <w:pPr>
              <w:pStyle w:val="TableContents"/>
              <w:widowControl w:val="false"/>
              <w:suppressLineNumbers/>
              <w:bidi w:val="0"/>
              <w:jc w:val="left"/>
              <w:rPr/>
            </w:pPr>
            <w:r>
              <w:rPr/>
              <w:t>500K – 2.0M</w:t>
            </w:r>
          </w:p>
        </w:tc>
        <w:tc>
          <w:tcPr>
            <w:tcW w:w="4262" w:type="dxa"/>
            <w:tcBorders/>
            <w:vAlign w:val="center"/>
          </w:tcPr>
          <w:p>
            <w:pPr>
              <w:pStyle w:val="TableContents"/>
              <w:widowControl w:val="false"/>
              <w:suppressLineNumbers/>
              <w:bidi w:val="0"/>
              <w:jc w:val="left"/>
              <w:rPr/>
            </w:pPr>
            <w:r>
              <w:rPr/>
              <w:t>Forward revenue multiple (3–8×) on early traction</w:t>
            </w:r>
          </w:p>
        </w:tc>
      </w:tr>
      <w:tr>
        <w:trPr/>
        <w:tc>
          <w:tcPr>
            <w:tcW w:w="3434" w:type="dxa"/>
            <w:tcBorders/>
            <w:vAlign w:val="center"/>
          </w:tcPr>
          <w:p>
            <w:pPr>
              <w:pStyle w:val="TableContents"/>
              <w:widowControl w:val="false"/>
              <w:suppressLineNumbers/>
              <w:bidi w:val="0"/>
              <w:jc w:val="left"/>
              <w:rPr/>
            </w:pPr>
            <w:r>
              <w:rPr/>
              <w:t>+2 years (Layers 1–2 scaling)</w:t>
            </w:r>
          </w:p>
        </w:tc>
        <w:tc>
          <w:tcPr>
            <w:tcW w:w="2509" w:type="dxa"/>
            <w:tcBorders/>
            <w:vAlign w:val="center"/>
          </w:tcPr>
          <w:p>
            <w:pPr>
              <w:pStyle w:val="TableContents"/>
              <w:widowControl w:val="false"/>
              <w:suppressLineNumbers/>
              <w:bidi w:val="0"/>
              <w:jc w:val="left"/>
              <w:rPr/>
            </w:pPr>
            <w:r>
              <w:rPr/>
              <w:t>2.0M – 5.0M</w:t>
            </w:r>
          </w:p>
        </w:tc>
        <w:tc>
          <w:tcPr>
            <w:tcW w:w="4262" w:type="dxa"/>
            <w:tcBorders/>
            <w:vAlign w:val="center"/>
          </w:tcPr>
          <w:p>
            <w:pPr>
              <w:pStyle w:val="TableContents"/>
              <w:widowControl w:val="false"/>
              <w:suppressLineNumbers/>
              <w:bidi w:val="0"/>
              <w:jc w:val="left"/>
              <w:rPr/>
            </w:pPr>
            <w:r>
              <w:rPr/>
              <w:t>Revenue multiple + market position</w:t>
            </w:r>
          </w:p>
        </w:tc>
      </w:tr>
    </w:tbl>
    <w:p>
      <w:pPr>
        <w:pStyle w:val="BodyText"/>
        <w:bidi w:val="0"/>
        <w:jc w:val="left"/>
        <w:rPr/>
      </w:pPr>
      <w:r>
        <w:rPr>
          <w:rStyle w:val="Strong"/>
        </w:rPr>
        <w:t>Reconciling the ask with valuation.</w:t>
      </w:r>
      <w:r>
        <w:rPr/>
        <w:t xml:space="preserve"> A USD 2–3M raise implies a post-funding enterprise value well above today's asset-based value. We therefore propose </w:t>
      </w:r>
      <w:r>
        <w:rPr>
          <w:rStyle w:val="Strong"/>
        </w:rPr>
        <w:t>either</w:t>
      </w:r>
      <w:r>
        <w:rPr/>
        <w:t xml:space="preserve"> (a) a </w:t>
      </w:r>
      <w:r>
        <w:rPr>
          <w:rStyle w:val="Strong"/>
        </w:rPr>
        <w:t>priced Series A</w:t>
      </w:r>
      <w:r>
        <w:rPr/>
        <w:t xml:space="preserve"> at a negotiated pre-money in the </w:t>
      </w:r>
      <w:r>
        <w:rPr>
          <w:rStyle w:val="Strong"/>
        </w:rPr>
        <w:t>USD 8–12M</w:t>
      </w:r>
      <w:r>
        <w:rPr/>
        <w:t xml:space="preserve"> range justified by the 24–36 month trajectory and strategic diaspora position, </w:t>
      </w:r>
      <w:r>
        <w:rPr>
          <w:rStyle w:val="Strong"/>
        </w:rPr>
        <w:t>or</w:t>
      </w:r>
      <w:r>
        <w:rPr/>
        <w:t xml:space="preserve"> (b) a </w:t>
      </w:r>
      <w:r>
        <w:rPr>
          <w:rStyle w:val="Strong"/>
        </w:rPr>
        <w:t>capped convertible / SAFE</w:t>
      </w:r>
      <w:r>
        <w:rPr/>
        <w:t xml:space="preserve"> (illustrative cap USD 10–12M, 20% discount) that defers precise pricing to a later priced round. Capital released in milestone tranches. Final terms subject to negotiation and securities counsel.</w:t>
      </w:r>
    </w:p>
    <w:p>
      <w:pPr>
        <w:pStyle w:val="Heading2sec"/>
        <w:bidi w:val="0"/>
        <w:jc w:val="left"/>
        <w:rPr/>
      </w:pPr>
      <w:r>
        <w:rPr/>
        <w:t>9. Financial Projections (2026–2028)</w:t>
      </w:r>
    </w:p>
    <w:p>
      <w:pPr>
        <w:pStyle w:val="BodyText"/>
        <w:bidi w:val="0"/>
        <w:jc w:val="left"/>
        <w:rPr/>
      </w:pPr>
      <w:r>
        <w:rPr/>
        <w:t>Three scenarios. "2-year" = cumulative 2026–2027. USD primary.</w:t>
      </w:r>
    </w:p>
    <w:p>
      <w:pPr>
        <w:pStyle w:val="Heading4"/>
        <w:bidi w:val="0"/>
        <w:jc w:val="left"/>
        <w:rPr/>
      </w:pPr>
      <w:r>
        <w:rPr/>
        <w:t>Conservative</w:t>
      </w:r>
    </w:p>
    <w:tbl>
      <w:tblPr>
        <w:tblW w:w="5292" w:type="dxa"/>
        <w:jc w:val="left"/>
        <w:tblInd w:w="28" w:type="dxa"/>
        <w:tblLayout w:type="fixed"/>
        <w:tblCellMar>
          <w:top w:w="28" w:type="dxa"/>
          <w:left w:w="28" w:type="dxa"/>
          <w:bottom w:w="28" w:type="dxa"/>
          <w:right w:w="28" w:type="dxa"/>
        </w:tblCellMar>
      </w:tblPr>
      <w:tblGrid>
        <w:gridCol w:w="2105"/>
        <w:gridCol w:w="1043"/>
        <w:gridCol w:w="1156"/>
        <w:gridCol w:w="988"/>
      </w:tblGrid>
      <w:tr>
        <w:trPr/>
        <w:tc>
          <w:tcPr>
            <w:tcW w:w="2105" w:type="dxa"/>
            <w:tcBorders/>
            <w:vAlign w:val="center"/>
          </w:tcPr>
          <w:p>
            <w:pPr>
              <w:pStyle w:val="TableHeading"/>
              <w:bidi w:val="0"/>
              <w:ind w:hanging="0" w:left="0" w:right="0"/>
              <w:jc w:val="left"/>
              <w:rPr/>
            </w:pPr>
            <w:r>
              <w:rPr/>
              <w:t>Horizon</w:t>
            </w:r>
          </w:p>
        </w:tc>
        <w:tc>
          <w:tcPr>
            <w:tcW w:w="1043" w:type="dxa"/>
            <w:tcBorders/>
            <w:vAlign w:val="center"/>
          </w:tcPr>
          <w:p>
            <w:pPr>
              <w:pStyle w:val="TableHeading"/>
              <w:bidi w:val="0"/>
              <w:ind w:hanging="0" w:left="0" w:right="0"/>
              <w:jc w:val="right"/>
              <w:rPr/>
            </w:pPr>
            <w:r>
              <w:rPr/>
              <w:t>Revenue</w:t>
            </w:r>
          </w:p>
        </w:tc>
        <w:tc>
          <w:tcPr>
            <w:tcW w:w="1156" w:type="dxa"/>
            <w:tcBorders/>
            <w:vAlign w:val="center"/>
          </w:tcPr>
          <w:p>
            <w:pPr>
              <w:pStyle w:val="TableHeading"/>
              <w:bidi w:val="0"/>
              <w:ind w:hanging="0" w:left="0" w:right="0"/>
              <w:jc w:val="right"/>
              <w:rPr/>
            </w:pPr>
            <w:r>
              <w:rPr/>
              <w:t>Expenses</w:t>
            </w:r>
          </w:p>
        </w:tc>
        <w:tc>
          <w:tcPr>
            <w:tcW w:w="988" w:type="dxa"/>
            <w:tcBorders/>
            <w:vAlign w:val="center"/>
          </w:tcPr>
          <w:p>
            <w:pPr>
              <w:pStyle w:val="TableHeading"/>
              <w:bidi w:val="0"/>
              <w:jc w:val="right"/>
              <w:rPr/>
            </w:pPr>
            <w:r>
              <w:rPr/>
              <w:t>Net</w:t>
            </w:r>
          </w:p>
        </w:tc>
      </w:tr>
      <w:tr>
        <w:trPr/>
        <w:tc>
          <w:tcPr>
            <w:tcW w:w="2105" w:type="dxa"/>
            <w:tcBorders/>
            <w:vAlign w:val="center"/>
          </w:tcPr>
          <w:p>
            <w:pPr>
              <w:pStyle w:val="TableContents"/>
              <w:bidi w:val="0"/>
              <w:ind w:hanging="0" w:left="0" w:right="0"/>
              <w:jc w:val="left"/>
              <w:rPr/>
            </w:pPr>
            <w:r>
              <w:rPr/>
              <w:t>6 months (H2 2026)</w:t>
            </w:r>
          </w:p>
        </w:tc>
        <w:tc>
          <w:tcPr>
            <w:tcW w:w="1043" w:type="dxa"/>
            <w:tcBorders/>
            <w:vAlign w:val="center"/>
          </w:tcPr>
          <w:p>
            <w:pPr>
              <w:pStyle w:val="TableContents"/>
              <w:bidi w:val="0"/>
              <w:ind w:hanging="0" w:left="0" w:right="0"/>
              <w:jc w:val="right"/>
              <w:rPr/>
            </w:pPr>
            <w:r>
              <w:rPr/>
              <w:t>5,000</w:t>
            </w:r>
          </w:p>
        </w:tc>
        <w:tc>
          <w:tcPr>
            <w:tcW w:w="1156" w:type="dxa"/>
            <w:tcBorders/>
            <w:vAlign w:val="center"/>
          </w:tcPr>
          <w:p>
            <w:pPr>
              <w:pStyle w:val="TableContents"/>
              <w:bidi w:val="0"/>
              <w:ind w:hanging="0" w:left="0" w:right="0"/>
              <w:jc w:val="right"/>
              <w:rPr/>
            </w:pPr>
            <w:r>
              <w:rPr/>
              <w:t>50,000</w:t>
            </w:r>
          </w:p>
        </w:tc>
        <w:tc>
          <w:tcPr>
            <w:tcW w:w="988" w:type="dxa"/>
            <w:tcBorders/>
            <w:vAlign w:val="center"/>
          </w:tcPr>
          <w:p>
            <w:pPr>
              <w:pStyle w:val="TableContents"/>
              <w:bidi w:val="0"/>
              <w:jc w:val="right"/>
              <w:rPr/>
            </w:pPr>
            <w:r>
              <w:rPr/>
              <w:t>(45,000)</w:t>
            </w:r>
          </w:p>
        </w:tc>
      </w:tr>
      <w:tr>
        <w:trPr/>
        <w:tc>
          <w:tcPr>
            <w:tcW w:w="2105" w:type="dxa"/>
            <w:tcBorders/>
            <w:vAlign w:val="center"/>
          </w:tcPr>
          <w:p>
            <w:pPr>
              <w:pStyle w:val="TableContents"/>
              <w:bidi w:val="0"/>
              <w:ind w:hanging="0" w:left="0" w:right="0"/>
              <w:jc w:val="left"/>
              <w:rPr/>
            </w:pPr>
            <w:r>
              <w:rPr/>
              <w:t>1 year (2026)</w:t>
            </w:r>
          </w:p>
        </w:tc>
        <w:tc>
          <w:tcPr>
            <w:tcW w:w="1043" w:type="dxa"/>
            <w:tcBorders/>
            <w:vAlign w:val="center"/>
          </w:tcPr>
          <w:p>
            <w:pPr>
              <w:pStyle w:val="TableContents"/>
              <w:bidi w:val="0"/>
              <w:ind w:hanging="0" w:left="0" w:right="0"/>
              <w:jc w:val="right"/>
              <w:rPr/>
            </w:pPr>
            <w:r>
              <w:rPr/>
              <w:t>35,000</w:t>
            </w:r>
          </w:p>
        </w:tc>
        <w:tc>
          <w:tcPr>
            <w:tcW w:w="1156" w:type="dxa"/>
            <w:tcBorders/>
            <w:vAlign w:val="center"/>
          </w:tcPr>
          <w:p>
            <w:pPr>
              <w:pStyle w:val="TableContents"/>
              <w:bidi w:val="0"/>
              <w:ind w:hanging="0" w:left="0" w:right="0"/>
              <w:jc w:val="right"/>
              <w:rPr/>
            </w:pPr>
            <w:r>
              <w:rPr/>
              <w:t>80,000</w:t>
            </w:r>
          </w:p>
        </w:tc>
        <w:tc>
          <w:tcPr>
            <w:tcW w:w="988" w:type="dxa"/>
            <w:tcBorders/>
            <w:vAlign w:val="center"/>
          </w:tcPr>
          <w:p>
            <w:pPr>
              <w:pStyle w:val="TableContents"/>
              <w:bidi w:val="0"/>
              <w:jc w:val="right"/>
              <w:rPr/>
            </w:pPr>
            <w:r>
              <w:rPr/>
              <w:t>(45,000)</w:t>
            </w:r>
          </w:p>
        </w:tc>
      </w:tr>
      <w:tr>
        <w:trPr/>
        <w:tc>
          <w:tcPr>
            <w:tcW w:w="2105" w:type="dxa"/>
            <w:tcBorders/>
            <w:vAlign w:val="center"/>
          </w:tcPr>
          <w:p>
            <w:pPr>
              <w:pStyle w:val="TableContents"/>
              <w:bidi w:val="0"/>
              <w:ind w:hanging="0" w:left="0" w:right="0"/>
              <w:jc w:val="left"/>
              <w:rPr/>
            </w:pPr>
            <w:r>
              <w:rPr/>
              <w:t>2 years (2026–27)</w:t>
            </w:r>
          </w:p>
        </w:tc>
        <w:tc>
          <w:tcPr>
            <w:tcW w:w="1043" w:type="dxa"/>
            <w:tcBorders/>
            <w:vAlign w:val="center"/>
          </w:tcPr>
          <w:p>
            <w:pPr>
              <w:pStyle w:val="TableContents"/>
              <w:bidi w:val="0"/>
              <w:ind w:hanging="0" w:left="0" w:right="0"/>
              <w:jc w:val="right"/>
              <w:rPr/>
            </w:pPr>
            <w:r>
              <w:rPr/>
              <w:t>160,000</w:t>
            </w:r>
          </w:p>
        </w:tc>
        <w:tc>
          <w:tcPr>
            <w:tcW w:w="1156" w:type="dxa"/>
            <w:tcBorders/>
            <w:vAlign w:val="center"/>
          </w:tcPr>
          <w:p>
            <w:pPr>
              <w:pStyle w:val="TableContents"/>
              <w:bidi w:val="0"/>
              <w:ind w:hanging="0" w:left="0" w:right="0"/>
              <w:jc w:val="right"/>
              <w:rPr/>
            </w:pPr>
            <w:r>
              <w:rPr/>
              <w:t>150,000</w:t>
            </w:r>
          </w:p>
        </w:tc>
        <w:tc>
          <w:tcPr>
            <w:tcW w:w="988" w:type="dxa"/>
            <w:tcBorders/>
            <w:vAlign w:val="center"/>
          </w:tcPr>
          <w:p>
            <w:pPr>
              <w:pStyle w:val="TableContents"/>
              <w:bidi w:val="0"/>
              <w:jc w:val="right"/>
              <w:rPr/>
            </w:pPr>
            <w:r>
              <w:rPr/>
              <w:t>10,000</w:t>
            </w:r>
          </w:p>
        </w:tc>
      </w:tr>
    </w:tbl>
    <w:p>
      <w:pPr>
        <w:pStyle w:val="Heading4"/>
        <w:bidi w:val="0"/>
        <w:jc w:val="left"/>
        <w:rPr/>
      </w:pPr>
      <w:r>
        <w:rPr/>
        <w:t>Moderate (base case)</w:t>
      </w:r>
    </w:p>
    <w:tbl>
      <w:tblPr>
        <w:tblW w:w="5292" w:type="dxa"/>
        <w:jc w:val="left"/>
        <w:tblInd w:w="28" w:type="dxa"/>
        <w:tblLayout w:type="fixed"/>
        <w:tblCellMar>
          <w:top w:w="28" w:type="dxa"/>
          <w:left w:w="28" w:type="dxa"/>
          <w:bottom w:w="28" w:type="dxa"/>
          <w:right w:w="28" w:type="dxa"/>
        </w:tblCellMar>
      </w:tblPr>
      <w:tblGrid>
        <w:gridCol w:w="2105"/>
        <w:gridCol w:w="1043"/>
        <w:gridCol w:w="1156"/>
        <w:gridCol w:w="988"/>
      </w:tblGrid>
      <w:tr>
        <w:trPr/>
        <w:tc>
          <w:tcPr>
            <w:tcW w:w="2105" w:type="dxa"/>
            <w:tcBorders/>
            <w:vAlign w:val="center"/>
          </w:tcPr>
          <w:p>
            <w:pPr>
              <w:pStyle w:val="TableHeading"/>
              <w:bidi w:val="0"/>
              <w:ind w:hanging="0" w:left="0" w:right="0"/>
              <w:jc w:val="left"/>
              <w:rPr/>
            </w:pPr>
            <w:r>
              <w:rPr/>
              <w:t>Horizon</w:t>
            </w:r>
          </w:p>
        </w:tc>
        <w:tc>
          <w:tcPr>
            <w:tcW w:w="1043" w:type="dxa"/>
            <w:tcBorders/>
            <w:vAlign w:val="center"/>
          </w:tcPr>
          <w:p>
            <w:pPr>
              <w:pStyle w:val="TableHeading"/>
              <w:bidi w:val="0"/>
              <w:ind w:hanging="0" w:left="0" w:right="0"/>
              <w:jc w:val="right"/>
              <w:rPr/>
            </w:pPr>
            <w:r>
              <w:rPr/>
              <w:t>Revenue</w:t>
            </w:r>
          </w:p>
        </w:tc>
        <w:tc>
          <w:tcPr>
            <w:tcW w:w="1156" w:type="dxa"/>
            <w:tcBorders/>
            <w:vAlign w:val="center"/>
          </w:tcPr>
          <w:p>
            <w:pPr>
              <w:pStyle w:val="TableHeading"/>
              <w:bidi w:val="0"/>
              <w:ind w:hanging="0" w:left="0" w:right="0"/>
              <w:jc w:val="right"/>
              <w:rPr/>
            </w:pPr>
            <w:r>
              <w:rPr/>
              <w:t>Expenses</w:t>
            </w:r>
          </w:p>
        </w:tc>
        <w:tc>
          <w:tcPr>
            <w:tcW w:w="988" w:type="dxa"/>
            <w:tcBorders/>
            <w:vAlign w:val="center"/>
          </w:tcPr>
          <w:p>
            <w:pPr>
              <w:pStyle w:val="TableHeading"/>
              <w:bidi w:val="0"/>
              <w:jc w:val="right"/>
              <w:rPr/>
            </w:pPr>
            <w:r>
              <w:rPr/>
              <w:t>Net</w:t>
            </w:r>
          </w:p>
        </w:tc>
      </w:tr>
      <w:tr>
        <w:trPr/>
        <w:tc>
          <w:tcPr>
            <w:tcW w:w="2105" w:type="dxa"/>
            <w:tcBorders/>
            <w:vAlign w:val="center"/>
          </w:tcPr>
          <w:p>
            <w:pPr>
              <w:pStyle w:val="TableContents"/>
              <w:bidi w:val="0"/>
              <w:ind w:hanging="0" w:left="0" w:right="0"/>
              <w:jc w:val="left"/>
              <w:rPr/>
            </w:pPr>
            <w:r>
              <w:rPr/>
              <w:t>6 months (H2 2026)</w:t>
            </w:r>
          </w:p>
        </w:tc>
        <w:tc>
          <w:tcPr>
            <w:tcW w:w="1043" w:type="dxa"/>
            <w:tcBorders/>
            <w:vAlign w:val="center"/>
          </w:tcPr>
          <w:p>
            <w:pPr>
              <w:pStyle w:val="TableContents"/>
              <w:bidi w:val="0"/>
              <w:ind w:hanging="0" w:left="0" w:right="0"/>
              <w:jc w:val="right"/>
              <w:rPr/>
            </w:pPr>
            <w:r>
              <w:rPr/>
              <w:t>20,000</w:t>
            </w:r>
          </w:p>
        </w:tc>
        <w:tc>
          <w:tcPr>
            <w:tcW w:w="1156" w:type="dxa"/>
            <w:tcBorders/>
            <w:vAlign w:val="center"/>
          </w:tcPr>
          <w:p>
            <w:pPr>
              <w:pStyle w:val="TableContents"/>
              <w:bidi w:val="0"/>
              <w:ind w:hanging="0" w:left="0" w:right="0"/>
              <w:jc w:val="right"/>
              <w:rPr/>
            </w:pPr>
            <w:r>
              <w:rPr/>
              <w:t>35,000</w:t>
            </w:r>
          </w:p>
        </w:tc>
        <w:tc>
          <w:tcPr>
            <w:tcW w:w="988" w:type="dxa"/>
            <w:tcBorders/>
            <w:vAlign w:val="center"/>
          </w:tcPr>
          <w:p>
            <w:pPr>
              <w:pStyle w:val="TableContents"/>
              <w:bidi w:val="0"/>
              <w:jc w:val="right"/>
              <w:rPr/>
            </w:pPr>
            <w:r>
              <w:rPr/>
              <w:t>(15,000)</w:t>
            </w:r>
          </w:p>
        </w:tc>
      </w:tr>
      <w:tr>
        <w:trPr/>
        <w:tc>
          <w:tcPr>
            <w:tcW w:w="2105" w:type="dxa"/>
            <w:tcBorders/>
            <w:vAlign w:val="center"/>
          </w:tcPr>
          <w:p>
            <w:pPr>
              <w:pStyle w:val="TableContents"/>
              <w:bidi w:val="0"/>
              <w:ind w:hanging="0" w:left="0" w:right="0"/>
              <w:jc w:val="left"/>
              <w:rPr/>
            </w:pPr>
            <w:r>
              <w:rPr/>
              <w:t>1 year (2026)</w:t>
            </w:r>
          </w:p>
        </w:tc>
        <w:tc>
          <w:tcPr>
            <w:tcW w:w="1043" w:type="dxa"/>
            <w:tcBorders/>
            <w:vAlign w:val="center"/>
          </w:tcPr>
          <w:p>
            <w:pPr>
              <w:pStyle w:val="TableContents"/>
              <w:bidi w:val="0"/>
              <w:ind w:hanging="0" w:left="0" w:right="0"/>
              <w:jc w:val="right"/>
              <w:rPr/>
            </w:pPr>
            <w:r>
              <w:rPr/>
              <w:t>110,000</w:t>
            </w:r>
          </w:p>
        </w:tc>
        <w:tc>
          <w:tcPr>
            <w:tcW w:w="1156" w:type="dxa"/>
            <w:tcBorders/>
            <w:vAlign w:val="center"/>
          </w:tcPr>
          <w:p>
            <w:pPr>
              <w:pStyle w:val="TableContents"/>
              <w:bidi w:val="0"/>
              <w:ind w:hanging="0" w:left="0" w:right="0"/>
              <w:jc w:val="right"/>
              <w:rPr/>
            </w:pPr>
            <w:r>
              <w:rPr/>
              <w:t>60,000</w:t>
            </w:r>
          </w:p>
        </w:tc>
        <w:tc>
          <w:tcPr>
            <w:tcW w:w="988" w:type="dxa"/>
            <w:tcBorders/>
            <w:vAlign w:val="center"/>
          </w:tcPr>
          <w:p>
            <w:pPr>
              <w:pStyle w:val="TableContents"/>
              <w:bidi w:val="0"/>
              <w:jc w:val="right"/>
              <w:rPr/>
            </w:pPr>
            <w:r>
              <w:rPr/>
              <w:t>50,000</w:t>
            </w:r>
          </w:p>
        </w:tc>
      </w:tr>
      <w:tr>
        <w:trPr/>
        <w:tc>
          <w:tcPr>
            <w:tcW w:w="2105" w:type="dxa"/>
            <w:tcBorders/>
            <w:vAlign w:val="center"/>
          </w:tcPr>
          <w:p>
            <w:pPr>
              <w:pStyle w:val="TableContents"/>
              <w:bidi w:val="0"/>
              <w:ind w:hanging="0" w:left="0" w:right="0"/>
              <w:jc w:val="left"/>
              <w:rPr/>
            </w:pPr>
            <w:r>
              <w:rPr/>
              <w:t>2 years (2026–27)</w:t>
            </w:r>
          </w:p>
        </w:tc>
        <w:tc>
          <w:tcPr>
            <w:tcW w:w="1043" w:type="dxa"/>
            <w:tcBorders/>
            <w:vAlign w:val="center"/>
          </w:tcPr>
          <w:p>
            <w:pPr>
              <w:pStyle w:val="TableContents"/>
              <w:bidi w:val="0"/>
              <w:ind w:hanging="0" w:left="0" w:right="0"/>
              <w:jc w:val="right"/>
              <w:rPr/>
            </w:pPr>
            <w:r>
              <w:rPr/>
              <w:t>540,000</w:t>
            </w:r>
          </w:p>
        </w:tc>
        <w:tc>
          <w:tcPr>
            <w:tcW w:w="1156" w:type="dxa"/>
            <w:tcBorders/>
            <w:vAlign w:val="center"/>
          </w:tcPr>
          <w:p>
            <w:pPr>
              <w:pStyle w:val="TableContents"/>
              <w:bidi w:val="0"/>
              <w:ind w:hanging="0" w:left="0" w:right="0"/>
              <w:jc w:val="right"/>
              <w:rPr/>
            </w:pPr>
            <w:r>
              <w:rPr/>
              <w:t>120,000</w:t>
            </w:r>
          </w:p>
        </w:tc>
        <w:tc>
          <w:tcPr>
            <w:tcW w:w="988" w:type="dxa"/>
            <w:tcBorders/>
            <w:vAlign w:val="center"/>
          </w:tcPr>
          <w:p>
            <w:pPr>
              <w:pStyle w:val="TableContents"/>
              <w:bidi w:val="0"/>
              <w:jc w:val="right"/>
              <w:rPr/>
            </w:pPr>
            <w:r>
              <w:rPr/>
              <w:t>420,000</w:t>
            </w:r>
          </w:p>
        </w:tc>
      </w:tr>
    </w:tbl>
    <w:p>
      <w:pPr>
        <w:pStyle w:val="Heading4"/>
        <w:bidi w:val="0"/>
        <w:jc w:val="left"/>
        <w:rPr/>
      </w:pPr>
      <w:r>
        <w:rPr/>
        <w:t>Aggressive</w:t>
      </w:r>
    </w:p>
    <w:tbl>
      <w:tblPr>
        <w:tblW w:w="5518" w:type="dxa"/>
        <w:jc w:val="left"/>
        <w:tblInd w:w="28" w:type="dxa"/>
        <w:tblLayout w:type="fixed"/>
        <w:tblCellMar>
          <w:top w:w="28" w:type="dxa"/>
          <w:left w:w="28" w:type="dxa"/>
          <w:bottom w:w="28" w:type="dxa"/>
          <w:right w:w="28" w:type="dxa"/>
        </w:tblCellMar>
      </w:tblPr>
      <w:tblGrid>
        <w:gridCol w:w="2105"/>
        <w:gridCol w:w="1106"/>
        <w:gridCol w:w="1156"/>
        <w:gridCol w:w="1151"/>
      </w:tblGrid>
      <w:tr>
        <w:trPr/>
        <w:tc>
          <w:tcPr>
            <w:tcW w:w="2105" w:type="dxa"/>
            <w:tcBorders/>
            <w:vAlign w:val="center"/>
          </w:tcPr>
          <w:p>
            <w:pPr>
              <w:pStyle w:val="TableHeading"/>
              <w:bidi w:val="0"/>
              <w:ind w:hanging="0" w:left="0" w:right="0"/>
              <w:jc w:val="left"/>
              <w:rPr/>
            </w:pPr>
            <w:r>
              <w:rPr/>
              <w:t>Horizon</w:t>
            </w:r>
          </w:p>
        </w:tc>
        <w:tc>
          <w:tcPr>
            <w:tcW w:w="1106" w:type="dxa"/>
            <w:tcBorders/>
            <w:vAlign w:val="center"/>
          </w:tcPr>
          <w:p>
            <w:pPr>
              <w:pStyle w:val="TableHeading"/>
              <w:bidi w:val="0"/>
              <w:ind w:hanging="0" w:left="0" w:right="0"/>
              <w:jc w:val="right"/>
              <w:rPr/>
            </w:pPr>
            <w:r>
              <w:rPr/>
              <w:t>Revenue</w:t>
            </w:r>
          </w:p>
        </w:tc>
        <w:tc>
          <w:tcPr>
            <w:tcW w:w="1156" w:type="dxa"/>
            <w:tcBorders/>
            <w:vAlign w:val="center"/>
          </w:tcPr>
          <w:p>
            <w:pPr>
              <w:pStyle w:val="TableHeading"/>
              <w:bidi w:val="0"/>
              <w:ind w:hanging="0" w:left="0" w:right="0"/>
              <w:jc w:val="right"/>
              <w:rPr/>
            </w:pPr>
            <w:r>
              <w:rPr/>
              <w:t>Expenses</w:t>
            </w:r>
          </w:p>
        </w:tc>
        <w:tc>
          <w:tcPr>
            <w:tcW w:w="1151" w:type="dxa"/>
            <w:tcBorders/>
            <w:vAlign w:val="center"/>
          </w:tcPr>
          <w:p>
            <w:pPr>
              <w:pStyle w:val="TableHeading"/>
              <w:bidi w:val="0"/>
              <w:jc w:val="right"/>
              <w:rPr/>
            </w:pPr>
            <w:r>
              <w:rPr/>
              <w:t>Net</w:t>
            </w:r>
          </w:p>
        </w:tc>
      </w:tr>
      <w:tr>
        <w:trPr/>
        <w:tc>
          <w:tcPr>
            <w:tcW w:w="2105" w:type="dxa"/>
            <w:tcBorders/>
            <w:vAlign w:val="center"/>
          </w:tcPr>
          <w:p>
            <w:pPr>
              <w:pStyle w:val="TableContents"/>
              <w:bidi w:val="0"/>
              <w:ind w:hanging="0" w:left="0" w:right="0"/>
              <w:jc w:val="left"/>
              <w:rPr/>
            </w:pPr>
            <w:r>
              <w:rPr/>
              <w:t>6 months (H2 2026)</w:t>
            </w:r>
          </w:p>
        </w:tc>
        <w:tc>
          <w:tcPr>
            <w:tcW w:w="1106" w:type="dxa"/>
            <w:tcBorders/>
            <w:vAlign w:val="center"/>
          </w:tcPr>
          <w:p>
            <w:pPr>
              <w:pStyle w:val="TableContents"/>
              <w:bidi w:val="0"/>
              <w:ind w:hanging="0" w:left="0" w:right="0"/>
              <w:jc w:val="right"/>
              <w:rPr/>
            </w:pPr>
            <w:r>
              <w:rPr/>
              <w:t>45,000</w:t>
            </w:r>
          </w:p>
        </w:tc>
        <w:tc>
          <w:tcPr>
            <w:tcW w:w="1156" w:type="dxa"/>
            <w:tcBorders/>
            <w:vAlign w:val="center"/>
          </w:tcPr>
          <w:p>
            <w:pPr>
              <w:pStyle w:val="TableContents"/>
              <w:bidi w:val="0"/>
              <w:ind w:hanging="0" w:left="0" w:right="0"/>
              <w:jc w:val="right"/>
              <w:rPr/>
            </w:pPr>
            <w:r>
              <w:rPr/>
              <w:t>20,000</w:t>
            </w:r>
          </w:p>
        </w:tc>
        <w:tc>
          <w:tcPr>
            <w:tcW w:w="1151" w:type="dxa"/>
            <w:tcBorders/>
            <w:vAlign w:val="center"/>
          </w:tcPr>
          <w:p>
            <w:pPr>
              <w:pStyle w:val="TableContents"/>
              <w:bidi w:val="0"/>
              <w:jc w:val="right"/>
              <w:rPr/>
            </w:pPr>
            <w:r>
              <w:rPr/>
              <w:t>25,000</w:t>
            </w:r>
          </w:p>
        </w:tc>
      </w:tr>
      <w:tr>
        <w:trPr/>
        <w:tc>
          <w:tcPr>
            <w:tcW w:w="2105" w:type="dxa"/>
            <w:tcBorders/>
            <w:vAlign w:val="center"/>
          </w:tcPr>
          <w:p>
            <w:pPr>
              <w:pStyle w:val="TableContents"/>
              <w:bidi w:val="0"/>
              <w:ind w:hanging="0" w:left="0" w:right="0"/>
              <w:jc w:val="left"/>
              <w:rPr/>
            </w:pPr>
            <w:r>
              <w:rPr/>
              <w:t>1 year (2026)</w:t>
            </w:r>
          </w:p>
        </w:tc>
        <w:tc>
          <w:tcPr>
            <w:tcW w:w="1106" w:type="dxa"/>
            <w:tcBorders/>
            <w:vAlign w:val="center"/>
          </w:tcPr>
          <w:p>
            <w:pPr>
              <w:pStyle w:val="TableContents"/>
              <w:bidi w:val="0"/>
              <w:ind w:hanging="0" w:left="0" w:right="0"/>
              <w:jc w:val="right"/>
              <w:rPr/>
            </w:pPr>
            <w:r>
              <w:rPr/>
              <w:t>255,000</w:t>
            </w:r>
          </w:p>
        </w:tc>
        <w:tc>
          <w:tcPr>
            <w:tcW w:w="1156" w:type="dxa"/>
            <w:tcBorders/>
            <w:vAlign w:val="center"/>
          </w:tcPr>
          <w:p>
            <w:pPr>
              <w:pStyle w:val="TableContents"/>
              <w:bidi w:val="0"/>
              <w:ind w:hanging="0" w:left="0" w:right="0"/>
              <w:jc w:val="right"/>
              <w:rPr/>
            </w:pPr>
            <w:r>
              <w:rPr/>
              <w:t>52,000</w:t>
            </w:r>
          </w:p>
        </w:tc>
        <w:tc>
          <w:tcPr>
            <w:tcW w:w="1151" w:type="dxa"/>
            <w:tcBorders/>
            <w:vAlign w:val="center"/>
          </w:tcPr>
          <w:p>
            <w:pPr>
              <w:pStyle w:val="TableContents"/>
              <w:bidi w:val="0"/>
              <w:jc w:val="right"/>
              <w:rPr/>
            </w:pPr>
            <w:r>
              <w:rPr/>
              <w:t>203,000</w:t>
            </w:r>
          </w:p>
        </w:tc>
      </w:tr>
      <w:tr>
        <w:trPr/>
        <w:tc>
          <w:tcPr>
            <w:tcW w:w="2105" w:type="dxa"/>
            <w:tcBorders/>
            <w:vAlign w:val="center"/>
          </w:tcPr>
          <w:p>
            <w:pPr>
              <w:pStyle w:val="TableContents"/>
              <w:bidi w:val="0"/>
              <w:ind w:hanging="0" w:left="0" w:right="0"/>
              <w:jc w:val="left"/>
              <w:rPr/>
            </w:pPr>
            <w:r>
              <w:rPr/>
              <w:t>2 years (2026–27)</w:t>
            </w:r>
          </w:p>
        </w:tc>
        <w:tc>
          <w:tcPr>
            <w:tcW w:w="1106" w:type="dxa"/>
            <w:tcBorders/>
            <w:vAlign w:val="center"/>
          </w:tcPr>
          <w:p>
            <w:pPr>
              <w:pStyle w:val="TableContents"/>
              <w:bidi w:val="0"/>
              <w:ind w:hanging="0" w:left="0" w:right="0"/>
              <w:jc w:val="right"/>
              <w:rPr/>
            </w:pPr>
            <w:r>
              <w:rPr/>
              <w:t>1,270,000</w:t>
            </w:r>
          </w:p>
        </w:tc>
        <w:tc>
          <w:tcPr>
            <w:tcW w:w="1156" w:type="dxa"/>
            <w:tcBorders/>
            <w:vAlign w:val="center"/>
          </w:tcPr>
          <w:p>
            <w:pPr>
              <w:pStyle w:val="TableContents"/>
              <w:bidi w:val="0"/>
              <w:ind w:hanging="0" w:left="0" w:right="0"/>
              <w:jc w:val="right"/>
              <w:rPr/>
            </w:pPr>
            <w:r>
              <w:rPr/>
              <w:t>100,000</w:t>
            </w:r>
          </w:p>
        </w:tc>
        <w:tc>
          <w:tcPr>
            <w:tcW w:w="1151" w:type="dxa"/>
            <w:tcBorders/>
            <w:vAlign w:val="center"/>
          </w:tcPr>
          <w:p>
            <w:pPr>
              <w:pStyle w:val="TableContents"/>
              <w:bidi w:val="0"/>
              <w:jc w:val="right"/>
              <w:rPr/>
            </w:pPr>
            <w:r>
              <w:rPr/>
              <w:t>1,170,000</w:t>
            </w:r>
          </w:p>
        </w:tc>
      </w:tr>
    </w:tbl>
    <w:p>
      <w:pPr>
        <w:pStyle w:val="BodyText"/>
        <w:bidi w:val="0"/>
        <w:jc w:val="left"/>
        <w:rPr/>
      </w:pPr>
      <w:r>
        <w:rPr/>
        <w:t>Base-case implied annual growth from 2026 (USD 110K) to cumulative 2-year and onward reflects layer launches and diaspora activation; with successful Series A execution we target a 2028 annual revenue run-rate of USD 1–2M (≈3–5× year-over-year in the scale phase). These are targets, not commitments.</w:t>
      </w:r>
    </w:p>
    <w:p>
      <w:pPr>
        <w:pStyle w:val="Heading2sec"/>
        <w:bidi w:val="0"/>
        <w:jc w:val="left"/>
        <w:rPr/>
      </w:pPr>
      <w:r>
        <w:rPr/>
        <w:t>10. The Ask &amp; Use of Funds</w:t>
      </w:r>
    </w:p>
    <w:p>
      <w:pPr>
        <w:pStyle w:val="BodyText"/>
        <w:bidi w:val="0"/>
        <w:jc w:val="left"/>
        <w:rPr/>
      </w:pPr>
      <w:r>
        <w:rPr>
          <w:rStyle w:val="Strong"/>
        </w:rPr>
        <w:t>USD 2–3M Series A.</w:t>
      </w:r>
      <w:r>
        <w:rPr/>
        <w:t xml:space="preserve"> Illustrative allocation at USD 2.5M midpoint, deployed over 24 months:</w:t>
      </w:r>
    </w:p>
    <w:tbl>
      <w:tblPr>
        <w:tblW w:w="9791" w:type="dxa"/>
        <w:jc w:val="left"/>
        <w:tblInd w:w="28" w:type="dxa"/>
        <w:tblLayout w:type="fixed"/>
        <w:tblCellMar>
          <w:top w:w="28" w:type="dxa"/>
          <w:left w:w="28" w:type="dxa"/>
          <w:bottom w:w="28" w:type="dxa"/>
          <w:right w:w="28" w:type="dxa"/>
        </w:tblCellMar>
      </w:tblPr>
      <w:tblGrid>
        <w:gridCol w:w="2982"/>
        <w:gridCol w:w="681"/>
        <w:gridCol w:w="1106"/>
        <w:gridCol w:w="5022"/>
      </w:tblGrid>
      <w:tr>
        <w:trPr/>
        <w:tc>
          <w:tcPr>
            <w:tcW w:w="2982" w:type="dxa"/>
            <w:tcBorders/>
            <w:vAlign w:val="center"/>
          </w:tcPr>
          <w:p>
            <w:pPr>
              <w:pStyle w:val="TableHeading"/>
              <w:bidi w:val="0"/>
              <w:ind w:hanging="0" w:left="0" w:right="0"/>
              <w:jc w:val="left"/>
              <w:rPr/>
            </w:pPr>
            <w:r>
              <w:rPr/>
              <w:t>Category</w:t>
            </w:r>
          </w:p>
        </w:tc>
        <w:tc>
          <w:tcPr>
            <w:tcW w:w="681" w:type="dxa"/>
            <w:tcBorders/>
            <w:vAlign w:val="center"/>
          </w:tcPr>
          <w:p>
            <w:pPr>
              <w:pStyle w:val="TableHeading"/>
              <w:bidi w:val="0"/>
              <w:ind w:hanging="0" w:left="0" w:right="0"/>
              <w:jc w:val="right"/>
              <w:rPr/>
            </w:pPr>
            <w:r>
              <w:rPr/>
              <w:t>%</w:t>
            </w:r>
          </w:p>
        </w:tc>
        <w:tc>
          <w:tcPr>
            <w:tcW w:w="1106" w:type="dxa"/>
            <w:tcBorders/>
            <w:vAlign w:val="center"/>
          </w:tcPr>
          <w:p>
            <w:pPr>
              <w:pStyle w:val="TableHeading"/>
              <w:bidi w:val="0"/>
              <w:jc w:val="right"/>
              <w:rPr/>
            </w:pPr>
            <w:r>
              <w:rPr/>
              <w:t>USD</w:t>
            </w:r>
          </w:p>
        </w:tc>
        <w:tc>
          <w:tcPr>
            <w:tcW w:w="5022" w:type="dxa"/>
            <w:tcBorders/>
            <w:vAlign w:val="center"/>
          </w:tcPr>
          <w:p>
            <w:pPr>
              <w:pStyle w:val="TableHeading"/>
              <w:suppressLineNumbers/>
              <w:shd w:fill="F2F4F8" w:val="clear"/>
              <w:bidi w:val="0"/>
              <w:jc w:val="left"/>
              <w:rPr/>
            </w:pPr>
            <w:r>
              <w:rPr/>
              <w:t>Purpose</w:t>
            </w:r>
          </w:p>
        </w:tc>
      </w:tr>
      <w:tr>
        <w:trPr/>
        <w:tc>
          <w:tcPr>
            <w:tcW w:w="2982" w:type="dxa"/>
            <w:tcBorders/>
            <w:vAlign w:val="center"/>
          </w:tcPr>
          <w:p>
            <w:pPr>
              <w:pStyle w:val="TableContents"/>
              <w:bidi w:val="0"/>
              <w:ind w:hanging="0" w:left="0" w:right="0"/>
              <w:jc w:val="left"/>
              <w:rPr/>
            </w:pPr>
            <w:r>
              <w:rPr/>
              <w:t>Product &amp; engineering</w:t>
            </w:r>
          </w:p>
        </w:tc>
        <w:tc>
          <w:tcPr>
            <w:tcW w:w="681" w:type="dxa"/>
            <w:tcBorders/>
            <w:vAlign w:val="center"/>
          </w:tcPr>
          <w:p>
            <w:pPr>
              <w:pStyle w:val="TableContents"/>
              <w:bidi w:val="0"/>
              <w:ind w:hanging="0" w:left="0" w:right="0"/>
              <w:jc w:val="right"/>
              <w:rPr/>
            </w:pPr>
            <w:r>
              <w:rPr/>
              <w:t>35%</w:t>
            </w:r>
          </w:p>
        </w:tc>
        <w:tc>
          <w:tcPr>
            <w:tcW w:w="1106" w:type="dxa"/>
            <w:tcBorders/>
            <w:vAlign w:val="center"/>
          </w:tcPr>
          <w:p>
            <w:pPr>
              <w:pStyle w:val="TableContents"/>
              <w:bidi w:val="0"/>
              <w:jc w:val="right"/>
              <w:rPr/>
            </w:pPr>
            <w:r>
              <w:rPr/>
              <w:t>875,000</w:t>
            </w:r>
          </w:p>
        </w:tc>
        <w:tc>
          <w:tcPr>
            <w:tcW w:w="5022" w:type="dxa"/>
            <w:tcBorders/>
            <w:vAlign w:val="center"/>
          </w:tcPr>
          <w:p>
            <w:pPr>
              <w:pStyle w:val="TableContents"/>
              <w:widowControl w:val="false"/>
              <w:suppressLineNumbers/>
              <w:bidi w:val="0"/>
              <w:jc w:val="left"/>
              <w:rPr/>
            </w:pPr>
            <w:r>
              <w:rPr/>
              <w:t>Layers 1–2, mobile/PWA, security, infra</w:t>
            </w:r>
          </w:p>
        </w:tc>
      </w:tr>
      <w:tr>
        <w:trPr/>
        <w:tc>
          <w:tcPr>
            <w:tcW w:w="2982" w:type="dxa"/>
            <w:tcBorders/>
            <w:vAlign w:val="center"/>
          </w:tcPr>
          <w:p>
            <w:pPr>
              <w:pStyle w:val="TableContents"/>
              <w:bidi w:val="0"/>
              <w:ind w:hanging="0" w:left="0" w:right="0"/>
              <w:jc w:val="left"/>
              <w:rPr/>
            </w:pPr>
            <w:r>
              <w:rPr/>
              <w:t>Team &amp; operations</w:t>
            </w:r>
          </w:p>
        </w:tc>
        <w:tc>
          <w:tcPr>
            <w:tcW w:w="681" w:type="dxa"/>
            <w:tcBorders/>
            <w:vAlign w:val="center"/>
          </w:tcPr>
          <w:p>
            <w:pPr>
              <w:pStyle w:val="TableContents"/>
              <w:bidi w:val="0"/>
              <w:ind w:hanging="0" w:left="0" w:right="0"/>
              <w:jc w:val="right"/>
              <w:rPr/>
            </w:pPr>
            <w:r>
              <w:rPr/>
              <w:t>23%</w:t>
            </w:r>
          </w:p>
        </w:tc>
        <w:tc>
          <w:tcPr>
            <w:tcW w:w="1106" w:type="dxa"/>
            <w:tcBorders/>
            <w:vAlign w:val="center"/>
          </w:tcPr>
          <w:p>
            <w:pPr>
              <w:pStyle w:val="TableContents"/>
              <w:bidi w:val="0"/>
              <w:jc w:val="right"/>
              <w:rPr/>
            </w:pPr>
            <w:r>
              <w:rPr/>
              <w:t>575,000</w:t>
            </w:r>
          </w:p>
        </w:tc>
        <w:tc>
          <w:tcPr>
            <w:tcW w:w="5022" w:type="dxa"/>
            <w:tcBorders/>
            <w:vAlign w:val="center"/>
          </w:tcPr>
          <w:p>
            <w:pPr>
              <w:pStyle w:val="TableContents"/>
              <w:widowControl w:val="false"/>
              <w:suppressLineNumbers/>
              <w:bidi w:val="0"/>
              <w:jc w:val="left"/>
              <w:rPr/>
            </w:pPr>
            <w:r>
              <w:rPr/>
              <w:t>Key hires; reduce founder concentration</w:t>
            </w:r>
          </w:p>
        </w:tc>
      </w:tr>
      <w:tr>
        <w:trPr/>
        <w:tc>
          <w:tcPr>
            <w:tcW w:w="2982" w:type="dxa"/>
            <w:tcBorders/>
            <w:vAlign w:val="center"/>
          </w:tcPr>
          <w:p>
            <w:pPr>
              <w:pStyle w:val="TableContents"/>
              <w:bidi w:val="0"/>
              <w:ind w:hanging="0" w:left="0" w:right="0"/>
              <w:jc w:val="left"/>
              <w:rPr/>
            </w:pPr>
            <w:r>
              <w:rPr/>
              <w:t>Marketing &amp; diaspora growth</w:t>
            </w:r>
          </w:p>
        </w:tc>
        <w:tc>
          <w:tcPr>
            <w:tcW w:w="681" w:type="dxa"/>
            <w:tcBorders/>
            <w:vAlign w:val="center"/>
          </w:tcPr>
          <w:p>
            <w:pPr>
              <w:pStyle w:val="TableContents"/>
              <w:bidi w:val="0"/>
              <w:ind w:hanging="0" w:left="0" w:right="0"/>
              <w:jc w:val="right"/>
              <w:rPr/>
            </w:pPr>
            <w:r>
              <w:rPr/>
              <w:t>20%</w:t>
            </w:r>
          </w:p>
        </w:tc>
        <w:tc>
          <w:tcPr>
            <w:tcW w:w="1106" w:type="dxa"/>
            <w:tcBorders/>
            <w:vAlign w:val="center"/>
          </w:tcPr>
          <w:p>
            <w:pPr>
              <w:pStyle w:val="TableContents"/>
              <w:bidi w:val="0"/>
              <w:jc w:val="right"/>
              <w:rPr/>
            </w:pPr>
            <w:r>
              <w:rPr/>
              <w:t>500,000</w:t>
            </w:r>
          </w:p>
        </w:tc>
        <w:tc>
          <w:tcPr>
            <w:tcW w:w="5022" w:type="dxa"/>
            <w:tcBorders/>
            <w:vAlign w:val="center"/>
          </w:tcPr>
          <w:p>
            <w:pPr>
              <w:pStyle w:val="TableContents"/>
              <w:widowControl w:val="false"/>
              <w:suppressLineNumbers/>
              <w:bidi w:val="0"/>
              <w:jc w:val="left"/>
              <w:rPr/>
            </w:pPr>
            <w:r>
              <w:rPr/>
              <w:t>CAC, community partnerships, events</w:t>
            </w:r>
          </w:p>
        </w:tc>
      </w:tr>
      <w:tr>
        <w:trPr/>
        <w:tc>
          <w:tcPr>
            <w:tcW w:w="2982" w:type="dxa"/>
            <w:tcBorders/>
            <w:vAlign w:val="center"/>
          </w:tcPr>
          <w:p>
            <w:pPr>
              <w:pStyle w:val="TableContents"/>
              <w:bidi w:val="0"/>
              <w:ind w:hanging="0" w:left="0" w:right="0"/>
              <w:jc w:val="left"/>
              <w:rPr/>
            </w:pPr>
            <w:r>
              <w:rPr/>
              <w:t>Legal &amp; compliance</w:t>
            </w:r>
          </w:p>
        </w:tc>
        <w:tc>
          <w:tcPr>
            <w:tcW w:w="681" w:type="dxa"/>
            <w:tcBorders/>
            <w:vAlign w:val="center"/>
          </w:tcPr>
          <w:p>
            <w:pPr>
              <w:pStyle w:val="TableContents"/>
              <w:bidi w:val="0"/>
              <w:ind w:hanging="0" w:left="0" w:right="0"/>
              <w:jc w:val="right"/>
              <w:rPr/>
            </w:pPr>
            <w:r>
              <w:rPr/>
              <w:t>12%</w:t>
            </w:r>
          </w:p>
        </w:tc>
        <w:tc>
          <w:tcPr>
            <w:tcW w:w="1106" w:type="dxa"/>
            <w:tcBorders/>
            <w:vAlign w:val="center"/>
          </w:tcPr>
          <w:p>
            <w:pPr>
              <w:pStyle w:val="TableContents"/>
              <w:bidi w:val="0"/>
              <w:jc w:val="right"/>
              <w:rPr/>
            </w:pPr>
            <w:r>
              <w:rPr/>
              <w:t>300,000</w:t>
            </w:r>
          </w:p>
        </w:tc>
        <w:tc>
          <w:tcPr>
            <w:tcW w:w="5022" w:type="dxa"/>
            <w:tcBorders/>
            <w:vAlign w:val="center"/>
          </w:tcPr>
          <w:p>
            <w:pPr>
              <w:pStyle w:val="TableContents"/>
              <w:widowControl w:val="false"/>
              <w:suppressLineNumbers/>
              <w:bidi w:val="0"/>
              <w:jc w:val="left"/>
              <w:rPr/>
            </w:pPr>
            <w:r>
              <w:rPr/>
              <w:t>US/VN entities, non-profit, child-safety, securities</w:t>
            </w:r>
          </w:p>
        </w:tc>
      </w:tr>
      <w:tr>
        <w:trPr/>
        <w:tc>
          <w:tcPr>
            <w:tcW w:w="2982" w:type="dxa"/>
            <w:tcBorders/>
            <w:vAlign w:val="center"/>
          </w:tcPr>
          <w:p>
            <w:pPr>
              <w:pStyle w:val="TableContents"/>
              <w:bidi w:val="0"/>
              <w:ind w:hanging="0" w:left="0" w:right="0"/>
              <w:jc w:val="left"/>
              <w:rPr/>
            </w:pPr>
            <w:r>
              <w:rPr/>
              <w:t>Content &amp; creator network</w:t>
            </w:r>
          </w:p>
        </w:tc>
        <w:tc>
          <w:tcPr>
            <w:tcW w:w="681" w:type="dxa"/>
            <w:tcBorders/>
            <w:vAlign w:val="center"/>
          </w:tcPr>
          <w:p>
            <w:pPr>
              <w:pStyle w:val="TableContents"/>
              <w:bidi w:val="0"/>
              <w:ind w:hanging="0" w:left="0" w:right="0"/>
              <w:jc w:val="right"/>
              <w:rPr/>
            </w:pPr>
            <w:r>
              <w:rPr/>
              <w:t>6%</w:t>
            </w:r>
          </w:p>
        </w:tc>
        <w:tc>
          <w:tcPr>
            <w:tcW w:w="1106" w:type="dxa"/>
            <w:tcBorders/>
            <w:vAlign w:val="center"/>
          </w:tcPr>
          <w:p>
            <w:pPr>
              <w:pStyle w:val="TableContents"/>
              <w:bidi w:val="0"/>
              <w:jc w:val="right"/>
              <w:rPr/>
            </w:pPr>
            <w:r>
              <w:rPr/>
              <w:t>150,000</w:t>
            </w:r>
          </w:p>
        </w:tc>
        <w:tc>
          <w:tcPr>
            <w:tcW w:w="5022" w:type="dxa"/>
            <w:tcBorders/>
            <w:vAlign w:val="center"/>
          </w:tcPr>
          <w:p>
            <w:pPr>
              <w:pStyle w:val="TableContents"/>
              <w:widowControl w:val="false"/>
              <w:suppressLineNumbers/>
              <w:bidi w:val="0"/>
              <w:jc w:val="left"/>
              <w:rPr/>
            </w:pPr>
            <w:r>
              <w:rPr/>
              <w:t>Seed creators/mentors, content engine</w:t>
            </w:r>
          </w:p>
        </w:tc>
      </w:tr>
      <w:tr>
        <w:trPr/>
        <w:tc>
          <w:tcPr>
            <w:tcW w:w="2982" w:type="dxa"/>
            <w:tcBorders/>
            <w:vAlign w:val="center"/>
          </w:tcPr>
          <w:p>
            <w:pPr>
              <w:pStyle w:val="TableContents"/>
              <w:bidi w:val="0"/>
              <w:ind w:hanging="0" w:left="0" w:right="0"/>
              <w:jc w:val="left"/>
              <w:rPr/>
            </w:pPr>
            <w:r>
              <w:rPr/>
              <w:t>Reserve / contingency</w:t>
            </w:r>
          </w:p>
        </w:tc>
        <w:tc>
          <w:tcPr>
            <w:tcW w:w="681" w:type="dxa"/>
            <w:tcBorders/>
            <w:vAlign w:val="center"/>
          </w:tcPr>
          <w:p>
            <w:pPr>
              <w:pStyle w:val="TableContents"/>
              <w:bidi w:val="0"/>
              <w:ind w:hanging="0" w:left="0" w:right="0"/>
              <w:jc w:val="right"/>
              <w:rPr/>
            </w:pPr>
            <w:r>
              <w:rPr/>
              <w:t>4%</w:t>
            </w:r>
          </w:p>
        </w:tc>
        <w:tc>
          <w:tcPr>
            <w:tcW w:w="1106" w:type="dxa"/>
            <w:tcBorders/>
            <w:vAlign w:val="center"/>
          </w:tcPr>
          <w:p>
            <w:pPr>
              <w:pStyle w:val="TableContents"/>
              <w:bidi w:val="0"/>
              <w:jc w:val="right"/>
              <w:rPr/>
            </w:pPr>
            <w:r>
              <w:rPr/>
              <w:t>100,000</w:t>
            </w:r>
          </w:p>
        </w:tc>
        <w:tc>
          <w:tcPr>
            <w:tcW w:w="5022" w:type="dxa"/>
            <w:tcBorders/>
            <w:vAlign w:val="center"/>
          </w:tcPr>
          <w:p>
            <w:pPr>
              <w:pStyle w:val="TableContents"/>
              <w:widowControl w:val="false"/>
              <w:suppressLineNumbers/>
              <w:bidi w:val="0"/>
              <w:jc w:val="left"/>
              <w:rPr/>
            </w:pPr>
            <w:r>
              <w:rPr/>
              <w:t>Buffer</w:t>
            </w:r>
          </w:p>
        </w:tc>
      </w:tr>
      <w:tr>
        <w:trPr/>
        <w:tc>
          <w:tcPr>
            <w:tcW w:w="2982" w:type="dxa"/>
            <w:tcBorders/>
            <w:vAlign w:val="center"/>
          </w:tcPr>
          <w:p>
            <w:pPr>
              <w:pStyle w:val="TableHeading"/>
              <w:bidi w:val="0"/>
              <w:ind w:hanging="0" w:left="0" w:right="0"/>
              <w:jc w:val="left"/>
              <w:rPr/>
            </w:pPr>
            <w:r>
              <w:rPr/>
              <w:t>Total</w:t>
            </w:r>
          </w:p>
        </w:tc>
        <w:tc>
          <w:tcPr>
            <w:tcW w:w="681" w:type="dxa"/>
            <w:tcBorders/>
            <w:vAlign w:val="center"/>
          </w:tcPr>
          <w:p>
            <w:pPr>
              <w:pStyle w:val="TableHeading"/>
              <w:bidi w:val="0"/>
              <w:ind w:hanging="0" w:left="0" w:right="0"/>
              <w:jc w:val="right"/>
              <w:rPr/>
            </w:pPr>
            <w:r>
              <w:rPr/>
              <w:t>100%</w:t>
            </w:r>
          </w:p>
        </w:tc>
        <w:tc>
          <w:tcPr>
            <w:tcW w:w="1106" w:type="dxa"/>
            <w:tcBorders/>
            <w:vAlign w:val="center"/>
          </w:tcPr>
          <w:p>
            <w:pPr>
              <w:pStyle w:val="TableHeading"/>
              <w:bidi w:val="0"/>
              <w:jc w:val="right"/>
              <w:rPr/>
            </w:pPr>
            <w:r>
              <w:rPr/>
              <w:t>2,500,000</w:t>
            </w:r>
          </w:p>
        </w:tc>
        <w:tc>
          <w:tcPr>
            <w:tcW w:w="5022" w:type="dxa"/>
            <w:tcBorders/>
            <w:vAlign w:val="center"/>
          </w:tcPr>
          <w:p>
            <w:pPr>
              <w:pStyle w:val="TableHeading"/>
              <w:bidi w:val="0"/>
              <w:jc w:val="left"/>
              <w:rPr>
                <w:sz w:val="4"/>
                <w:szCs w:val="4"/>
              </w:rPr>
            </w:pPr>
            <w:r>
              <w:rPr>
                <w:sz w:val="4"/>
                <w:szCs w:val="4"/>
              </w:rPr>
            </w:r>
          </w:p>
        </w:tc>
      </w:tr>
    </w:tbl>
    <w:p>
      <w:pPr>
        <w:pStyle w:val="Heading2sec"/>
        <w:bidi w:val="0"/>
        <w:jc w:val="left"/>
        <w:rPr/>
      </w:pPr>
      <w:r>
        <w:rPr/>
        <w:t>11. Roadmap &amp; Milestones (tranche triggers)</w:t>
      </w:r>
    </w:p>
    <w:tbl>
      <w:tblPr>
        <w:tblW w:w="9920" w:type="dxa"/>
        <w:jc w:val="left"/>
        <w:tblInd w:w="28" w:type="dxa"/>
        <w:tblLayout w:type="fixed"/>
        <w:tblCellMar>
          <w:top w:w="28" w:type="dxa"/>
          <w:left w:w="28" w:type="dxa"/>
          <w:bottom w:w="28" w:type="dxa"/>
          <w:right w:w="28" w:type="dxa"/>
        </w:tblCellMar>
      </w:tblPr>
      <w:tblGrid>
        <w:gridCol w:w="5804"/>
        <w:gridCol w:w="2079"/>
        <w:gridCol w:w="2037"/>
      </w:tblGrid>
      <w:tr>
        <w:trPr/>
        <w:tc>
          <w:tcPr>
            <w:tcW w:w="5804" w:type="dxa"/>
            <w:tcBorders/>
            <w:vAlign w:val="center"/>
          </w:tcPr>
          <w:p>
            <w:pPr>
              <w:pStyle w:val="TableHeading"/>
              <w:suppressLineNumbers/>
              <w:shd w:fill="F2F4F8" w:val="clear"/>
              <w:bidi w:val="0"/>
              <w:jc w:val="left"/>
              <w:rPr/>
            </w:pPr>
            <w:r>
              <w:rPr/>
              <w:t>Milestone</w:t>
            </w:r>
          </w:p>
        </w:tc>
        <w:tc>
          <w:tcPr>
            <w:tcW w:w="2079" w:type="dxa"/>
            <w:tcBorders/>
            <w:vAlign w:val="center"/>
          </w:tcPr>
          <w:p>
            <w:pPr>
              <w:pStyle w:val="TableHeading"/>
              <w:suppressLineNumbers/>
              <w:shd w:fill="F2F4F8" w:val="clear"/>
              <w:bidi w:val="0"/>
              <w:jc w:val="left"/>
              <w:rPr/>
            </w:pPr>
            <w:r>
              <w:rPr/>
              <w:t>Target</w:t>
            </w:r>
          </w:p>
        </w:tc>
        <w:tc>
          <w:tcPr>
            <w:tcW w:w="2037" w:type="dxa"/>
            <w:tcBorders/>
            <w:vAlign w:val="center"/>
          </w:tcPr>
          <w:p>
            <w:pPr>
              <w:pStyle w:val="TableHeading"/>
              <w:suppressLineNumbers/>
              <w:shd w:fill="F2F4F8" w:val="clear"/>
              <w:bidi w:val="0"/>
              <w:jc w:val="left"/>
              <w:rPr/>
            </w:pPr>
            <w:r>
              <w:rPr/>
              <w:t>Tranche</w:t>
            </w:r>
          </w:p>
        </w:tc>
      </w:tr>
      <w:tr>
        <w:trPr/>
        <w:tc>
          <w:tcPr>
            <w:tcW w:w="5804" w:type="dxa"/>
            <w:tcBorders/>
            <w:vAlign w:val="center"/>
          </w:tcPr>
          <w:p>
            <w:pPr>
              <w:pStyle w:val="TableContents"/>
              <w:widowControl w:val="false"/>
              <w:suppressLineNumbers/>
              <w:bidi w:val="0"/>
              <w:jc w:val="left"/>
              <w:rPr/>
            </w:pPr>
            <w:r>
              <w:rPr/>
              <w:t>Legal build-out complete (US/VN, non-profit, child-safety)</w:t>
            </w:r>
          </w:p>
        </w:tc>
        <w:tc>
          <w:tcPr>
            <w:tcW w:w="2079" w:type="dxa"/>
            <w:tcBorders/>
            <w:vAlign w:val="center"/>
          </w:tcPr>
          <w:p>
            <w:pPr>
              <w:pStyle w:val="TableContents"/>
              <w:widowControl w:val="false"/>
              <w:suppressLineNumbers/>
              <w:bidi w:val="0"/>
              <w:jc w:val="left"/>
              <w:rPr/>
            </w:pPr>
            <w:r>
              <w:rPr/>
              <w:t>Q3–Q4 2026</w:t>
            </w:r>
          </w:p>
        </w:tc>
        <w:tc>
          <w:tcPr>
            <w:tcW w:w="2037" w:type="dxa"/>
            <w:tcBorders/>
            <w:vAlign w:val="center"/>
          </w:tcPr>
          <w:p>
            <w:pPr>
              <w:pStyle w:val="TableContents"/>
              <w:widowControl w:val="false"/>
              <w:suppressLineNumbers/>
              <w:bidi w:val="0"/>
              <w:jc w:val="left"/>
              <w:rPr/>
            </w:pPr>
            <w:r>
              <w:rPr/>
              <w:t>Tranche 1</w:t>
            </w:r>
          </w:p>
        </w:tc>
      </w:tr>
      <w:tr>
        <w:trPr/>
        <w:tc>
          <w:tcPr>
            <w:tcW w:w="5804" w:type="dxa"/>
            <w:tcBorders/>
            <w:vAlign w:val="center"/>
          </w:tcPr>
          <w:p>
            <w:pPr>
              <w:pStyle w:val="TableContents"/>
              <w:widowControl w:val="false"/>
              <w:suppressLineNumbers/>
              <w:bidi w:val="0"/>
              <w:jc w:val="left"/>
              <w:rPr/>
            </w:pPr>
            <w:r>
              <w:rPr/>
              <w:t>Layer 1 live + first 25–50 sponsors</w:t>
            </w:r>
          </w:p>
        </w:tc>
        <w:tc>
          <w:tcPr>
            <w:tcW w:w="2079" w:type="dxa"/>
            <w:tcBorders/>
            <w:vAlign w:val="center"/>
          </w:tcPr>
          <w:p>
            <w:pPr>
              <w:pStyle w:val="TableContents"/>
              <w:widowControl w:val="false"/>
              <w:suppressLineNumbers/>
              <w:bidi w:val="0"/>
              <w:jc w:val="left"/>
              <w:rPr/>
            </w:pPr>
            <w:r>
              <w:rPr/>
              <w:t>Q4 2026 – Q1 2027</w:t>
            </w:r>
          </w:p>
        </w:tc>
        <w:tc>
          <w:tcPr>
            <w:tcW w:w="2037" w:type="dxa"/>
            <w:tcBorders/>
            <w:vAlign w:val="center"/>
          </w:tcPr>
          <w:p>
            <w:pPr>
              <w:pStyle w:val="TableContents"/>
              <w:widowControl w:val="false"/>
              <w:suppressLineNumbers/>
              <w:bidi w:val="0"/>
              <w:jc w:val="left"/>
              <w:rPr/>
            </w:pPr>
            <w:r>
              <w:rPr/>
              <w:t>Tranche 2</w:t>
            </w:r>
          </w:p>
        </w:tc>
      </w:tr>
      <w:tr>
        <w:trPr/>
        <w:tc>
          <w:tcPr>
            <w:tcW w:w="5804" w:type="dxa"/>
            <w:tcBorders/>
            <w:vAlign w:val="center"/>
          </w:tcPr>
          <w:p>
            <w:pPr>
              <w:pStyle w:val="TableContents"/>
              <w:widowControl w:val="false"/>
              <w:suppressLineNumbers/>
              <w:bidi w:val="0"/>
              <w:jc w:val="left"/>
              <w:rPr/>
            </w:pPr>
            <w:r>
              <w:rPr/>
              <w:t>Layer 2 live + membership scaling</w:t>
            </w:r>
          </w:p>
        </w:tc>
        <w:tc>
          <w:tcPr>
            <w:tcW w:w="2079" w:type="dxa"/>
            <w:tcBorders/>
            <w:vAlign w:val="center"/>
          </w:tcPr>
          <w:p>
            <w:pPr>
              <w:pStyle w:val="TableContents"/>
              <w:widowControl w:val="false"/>
              <w:suppressLineNumbers/>
              <w:bidi w:val="0"/>
              <w:jc w:val="left"/>
              <w:rPr/>
            </w:pPr>
            <w:r>
              <w:rPr/>
              <w:t>2027</w:t>
            </w:r>
          </w:p>
        </w:tc>
        <w:tc>
          <w:tcPr>
            <w:tcW w:w="2037" w:type="dxa"/>
            <w:tcBorders/>
            <w:vAlign w:val="center"/>
          </w:tcPr>
          <w:p>
            <w:pPr>
              <w:pStyle w:val="TableContents"/>
              <w:widowControl w:val="false"/>
              <w:suppressLineNumbers/>
              <w:bidi w:val="0"/>
              <w:jc w:val="left"/>
              <w:rPr/>
            </w:pPr>
            <w:r>
              <w:rPr/>
              <w:t>Tranche 3</w:t>
            </w:r>
          </w:p>
        </w:tc>
      </w:tr>
      <w:tr>
        <w:trPr/>
        <w:tc>
          <w:tcPr>
            <w:tcW w:w="5804" w:type="dxa"/>
            <w:tcBorders/>
            <w:vAlign w:val="center"/>
          </w:tcPr>
          <w:p>
            <w:pPr>
              <w:pStyle w:val="TableContents"/>
              <w:widowControl w:val="false"/>
              <w:suppressLineNumbers/>
              <w:bidi w:val="0"/>
              <w:jc w:val="left"/>
              <w:rPr/>
            </w:pPr>
            <w:r>
              <w:rPr/>
              <w:t>USD 1M+ annual run-rate</w:t>
            </w:r>
          </w:p>
        </w:tc>
        <w:tc>
          <w:tcPr>
            <w:tcW w:w="2079" w:type="dxa"/>
            <w:tcBorders/>
            <w:vAlign w:val="center"/>
          </w:tcPr>
          <w:p>
            <w:pPr>
              <w:pStyle w:val="TableContents"/>
              <w:widowControl w:val="false"/>
              <w:suppressLineNumbers/>
              <w:bidi w:val="0"/>
              <w:jc w:val="left"/>
              <w:rPr/>
            </w:pPr>
            <w:r>
              <w:rPr/>
              <w:t>2028</w:t>
            </w:r>
          </w:p>
        </w:tc>
        <w:tc>
          <w:tcPr>
            <w:tcW w:w="2037" w:type="dxa"/>
            <w:tcBorders/>
            <w:vAlign w:val="center"/>
          </w:tcPr>
          <w:p>
            <w:pPr>
              <w:pStyle w:val="TableContents"/>
              <w:widowControl w:val="false"/>
              <w:suppressLineNumbers/>
              <w:bidi w:val="0"/>
              <w:jc w:val="left"/>
              <w:rPr/>
            </w:pPr>
            <w:r>
              <w:rPr/>
              <w:t>Series B readiness</w:t>
            </w:r>
          </w:p>
        </w:tc>
      </w:tr>
    </w:tbl>
    <w:p>
      <w:pPr>
        <w:pStyle w:val="Heading2sec"/>
        <w:bidi w:val="0"/>
        <w:jc w:val="left"/>
        <w:rPr/>
      </w:pPr>
      <w:r>
        <w:rPr/>
        <w:t>12. Risks &amp; Mitigations</w:t>
      </w:r>
    </w:p>
    <w:tbl>
      <w:tblPr>
        <w:tblW w:w="10205" w:type="dxa"/>
        <w:jc w:val="left"/>
        <w:tblInd w:w="28" w:type="dxa"/>
        <w:tblLayout w:type="fixed"/>
        <w:tblCellMar>
          <w:top w:w="28" w:type="dxa"/>
          <w:left w:w="28" w:type="dxa"/>
          <w:bottom w:w="28" w:type="dxa"/>
          <w:right w:w="28" w:type="dxa"/>
        </w:tblCellMar>
      </w:tblPr>
      <w:tblGrid>
        <w:gridCol w:w="4243"/>
        <w:gridCol w:w="5962"/>
      </w:tblGrid>
      <w:tr>
        <w:trPr/>
        <w:tc>
          <w:tcPr>
            <w:tcW w:w="4243" w:type="dxa"/>
            <w:tcBorders/>
            <w:vAlign w:val="center"/>
          </w:tcPr>
          <w:p>
            <w:pPr>
              <w:pStyle w:val="TableHeading"/>
              <w:suppressLineNumbers/>
              <w:shd w:fill="F2F4F8" w:val="clear"/>
              <w:bidi w:val="0"/>
              <w:jc w:val="left"/>
              <w:rPr/>
            </w:pPr>
            <w:r>
              <w:rPr/>
              <w:t>Risk</w:t>
            </w:r>
          </w:p>
        </w:tc>
        <w:tc>
          <w:tcPr>
            <w:tcW w:w="5962" w:type="dxa"/>
            <w:tcBorders/>
            <w:vAlign w:val="center"/>
          </w:tcPr>
          <w:p>
            <w:pPr>
              <w:pStyle w:val="TableHeading"/>
              <w:suppressLineNumbers/>
              <w:shd w:fill="F2F4F8" w:val="clear"/>
              <w:bidi w:val="0"/>
              <w:jc w:val="left"/>
              <w:rPr/>
            </w:pPr>
            <w:r>
              <w:rPr/>
              <w:t>Mitigation</w:t>
            </w:r>
          </w:p>
        </w:tc>
      </w:tr>
      <w:tr>
        <w:trPr/>
        <w:tc>
          <w:tcPr>
            <w:tcW w:w="4243" w:type="dxa"/>
            <w:tcBorders/>
            <w:vAlign w:val="center"/>
          </w:tcPr>
          <w:p>
            <w:pPr>
              <w:pStyle w:val="TableContents"/>
              <w:widowControl w:val="false"/>
              <w:suppressLineNumbers/>
              <w:bidi w:val="0"/>
              <w:jc w:val="left"/>
              <w:rPr/>
            </w:pPr>
            <w:r>
              <w:rPr/>
              <w:t>Pre-revenue / no traction</w:t>
            </w:r>
          </w:p>
        </w:tc>
        <w:tc>
          <w:tcPr>
            <w:tcW w:w="5962" w:type="dxa"/>
            <w:tcBorders/>
            <w:vAlign w:val="center"/>
          </w:tcPr>
          <w:p>
            <w:pPr>
              <w:pStyle w:val="TableContents"/>
              <w:widowControl w:val="false"/>
              <w:suppressLineNumbers/>
              <w:bidi w:val="0"/>
              <w:jc w:val="left"/>
              <w:rPr/>
            </w:pPr>
            <w:r>
              <w:rPr/>
              <w:t>Milestone tranches; validate pricing &amp; secure anchor sponsors pre-launch</w:t>
            </w:r>
          </w:p>
        </w:tc>
      </w:tr>
      <w:tr>
        <w:trPr/>
        <w:tc>
          <w:tcPr>
            <w:tcW w:w="4243" w:type="dxa"/>
            <w:tcBorders/>
            <w:vAlign w:val="center"/>
          </w:tcPr>
          <w:p>
            <w:pPr>
              <w:pStyle w:val="TableContents"/>
              <w:widowControl w:val="false"/>
              <w:suppressLineNumbers/>
              <w:bidi w:val="0"/>
              <w:jc w:val="left"/>
              <w:rPr/>
            </w:pPr>
            <w:r>
              <w:rPr/>
              <w:t>Legal/regulatory (US + VN, child-safety, securities)</w:t>
            </w:r>
          </w:p>
        </w:tc>
        <w:tc>
          <w:tcPr>
            <w:tcW w:w="5962" w:type="dxa"/>
            <w:tcBorders/>
            <w:vAlign w:val="center"/>
          </w:tcPr>
          <w:p>
            <w:pPr>
              <w:pStyle w:val="TableContents"/>
              <w:widowControl w:val="false"/>
              <w:suppressLineNumbers/>
              <w:bidi w:val="0"/>
              <w:jc w:val="left"/>
              <w:rPr/>
            </w:pPr>
            <w:r>
              <w:rPr/>
              <w:t>Dedicated legal budget; three-lane firewall; counsel before any offer</w:t>
            </w:r>
          </w:p>
        </w:tc>
      </w:tr>
      <w:tr>
        <w:trPr/>
        <w:tc>
          <w:tcPr>
            <w:tcW w:w="4243" w:type="dxa"/>
            <w:tcBorders/>
            <w:vAlign w:val="center"/>
          </w:tcPr>
          <w:p>
            <w:pPr>
              <w:pStyle w:val="TableContents"/>
              <w:widowControl w:val="false"/>
              <w:suppressLineNumbers/>
              <w:bidi w:val="0"/>
              <w:jc w:val="left"/>
              <w:rPr/>
            </w:pPr>
            <w:r>
              <w:rPr/>
              <w:t>Founder concentration</w:t>
            </w:r>
          </w:p>
        </w:tc>
        <w:tc>
          <w:tcPr>
            <w:tcW w:w="5962" w:type="dxa"/>
            <w:tcBorders/>
            <w:vAlign w:val="center"/>
          </w:tcPr>
          <w:p>
            <w:pPr>
              <w:pStyle w:val="TableContents"/>
              <w:widowControl w:val="false"/>
              <w:suppressLineNumbers/>
              <w:bidi w:val="0"/>
              <w:jc w:val="left"/>
              <w:rPr/>
            </w:pPr>
            <w:r>
              <w:rPr/>
              <w:t>Key hires funded in this round</w:t>
            </w:r>
          </w:p>
        </w:tc>
      </w:tr>
      <w:tr>
        <w:trPr/>
        <w:tc>
          <w:tcPr>
            <w:tcW w:w="4243" w:type="dxa"/>
            <w:tcBorders/>
            <w:vAlign w:val="center"/>
          </w:tcPr>
          <w:p>
            <w:pPr>
              <w:pStyle w:val="TableContents"/>
              <w:widowControl w:val="false"/>
              <w:suppressLineNumbers/>
              <w:bidi w:val="0"/>
              <w:jc w:val="left"/>
              <w:rPr/>
            </w:pPr>
            <w:r>
              <w:rPr/>
              <w:t>Market/pricing unvalidated</w:t>
            </w:r>
          </w:p>
        </w:tc>
        <w:tc>
          <w:tcPr>
            <w:tcW w:w="5962" w:type="dxa"/>
            <w:tcBorders/>
            <w:vAlign w:val="center"/>
          </w:tcPr>
          <w:p>
            <w:pPr>
              <w:pStyle w:val="TableContents"/>
              <w:widowControl w:val="false"/>
              <w:suppressLineNumbers/>
              <w:bidi w:val="0"/>
              <w:jc w:val="left"/>
              <w:rPr/>
            </w:pPr>
            <w:r>
              <w:rPr/>
              <w:t>Customer interviews, A/B pricing tests, CAC/LTV discipline</w:t>
            </w:r>
          </w:p>
        </w:tc>
      </w:tr>
      <w:tr>
        <w:trPr/>
        <w:tc>
          <w:tcPr>
            <w:tcW w:w="4243" w:type="dxa"/>
            <w:tcBorders/>
            <w:vAlign w:val="center"/>
          </w:tcPr>
          <w:p>
            <w:pPr>
              <w:pStyle w:val="TableContents"/>
              <w:widowControl w:val="false"/>
              <w:suppressLineNumbers/>
              <w:bidi w:val="0"/>
              <w:jc w:val="left"/>
              <w:rPr/>
            </w:pPr>
            <w:r>
              <w:rPr/>
              <w:t>Execution/timeline</w:t>
            </w:r>
          </w:p>
        </w:tc>
        <w:tc>
          <w:tcPr>
            <w:tcW w:w="5962" w:type="dxa"/>
            <w:tcBorders/>
            <w:vAlign w:val="center"/>
          </w:tcPr>
          <w:p>
            <w:pPr>
              <w:pStyle w:val="TableContents"/>
              <w:widowControl w:val="false"/>
              <w:suppressLineNumbers/>
              <w:bidi w:val="0"/>
              <w:jc w:val="left"/>
              <w:rPr/>
            </w:pPr>
            <w:r>
              <w:rPr/>
              <w:t>MVP-scoped layer launches; monthly investor reporting</w:t>
            </w:r>
          </w:p>
        </w:tc>
      </w:tr>
    </w:tbl>
    <w:p>
      <w:pPr>
        <w:pStyle w:val="Heading2sec"/>
        <w:bidi w:val="0"/>
        <w:jc w:val="left"/>
        <w:rPr/>
      </w:pPr>
      <w:r>
        <w:rPr/>
        <w:t>13. Governance &amp; Investor Reporting</w:t>
      </w:r>
    </w:p>
    <w:p>
      <w:pPr>
        <w:pStyle w:val="BodyText"/>
        <w:bidi w:val="0"/>
        <w:jc w:val="left"/>
        <w:rPr/>
      </w:pPr>
      <w:r>
        <w:rPr/>
        <w:t>Capital flows through Viet Can New Corp (USA). We commit to monthly investor updates (KPIs: users, sponsors, donors, revenue, runway), milestone-based tranching, and transparent impact reporting separated from the non-profit lane.</w:t>
      </w:r>
    </w:p>
    <w:p>
      <w:pPr>
        <w:pStyle w:val="Heading2sec"/>
        <w:bidi w:val="0"/>
        <w:jc w:val="left"/>
        <w:rPr/>
      </w:pPr>
      <w:r>
        <w:rPr/>
        <w:t>14. Contact</w:t>
      </w:r>
    </w:p>
    <w:p>
      <w:pPr>
        <w:pStyle w:val="BodyText"/>
        <w:bidi w:val="0"/>
        <w:jc w:val="left"/>
        <w:rPr/>
      </w:pPr>
      <w:r>
        <w:rPr>
          <w:rStyle w:val="Strong"/>
        </w:rPr>
        <w:t>Viet Can New Corp</w:t>
      </w:r>
      <w:r>
        <w:rPr/>
        <w:br/>
        <w:t>7722 Stone Meadow Trail, Lithonia, Georgia 30058, United States</w:t>
        <w:br/>
        <w:t xml:space="preserve">Email: </w:t>
      </w:r>
      <w:hyperlink r:id="rId3">
        <w:r>
          <w:rPr>
            <w:rStyle w:val="Hyperlink"/>
          </w:rPr>
          <w:t>contact@duongsaotoasang.com</w:t>
        </w:r>
      </w:hyperlink>
      <w:r>
        <w:rPr/>
        <w:t xml:space="preserve"> · Web: </w:t>
      </w:r>
      <w:hyperlink r:id="rId4">
        <w:r>
          <w:rPr>
            <w:rStyle w:val="Hyperlink"/>
          </w:rPr>
          <w:t>duongsaotoasang.com</w:t>
        </w:r>
      </w:hyperlink>
      <w:r>
        <w:rPr/>
        <w:br/>
        <w:t>Vietnam representation (operational, non-legal): Viet Can Star Entertainment JSC (Tax ID 0315462505)</w:t>
      </w:r>
    </w:p>
    <w:p>
      <w:pPr>
        <w:pStyle w:val="Heading2sec"/>
        <w:bidi w:val="0"/>
        <w:jc w:val="left"/>
        <w:rPr/>
      </w:pPr>
      <w:r>
        <w:rPr/>
        <w:t>1. Tóm Tắt Điều Hành</w:t>
      </w:r>
    </w:p>
    <w:p>
      <w:pPr>
        <w:pStyle w:val="BodyTextlead"/>
        <w:bidi w:val="0"/>
        <w:jc w:val="left"/>
        <w:rPr/>
      </w:pPr>
      <w:r>
        <w:rPr/>
        <w:t xml:space="preserve">Đường Sao Tỏa Sáng ("DSTS") là hệ sinh thái số song ngữ kết nối cộng đồng người Việt toàn cầu với các cá nhân tài năng tại Việt Nam thông qua câu chuyện được xác minh, cố vấn, hành trình huấn luyện có cấu trúc, cộng đồng hội viên và hoạt động đóng góp minh bạch — vận hành theo kiến trúc pháp lý ba làn nghiêm ngặt (thương mại, phi lợi nhuận, đầu tư), với trách nhiệm pháp lý hoàn toàn thuộc về </w:t>
      </w:r>
      <w:r>
        <w:rPr>
          <w:rStyle w:val="Strong"/>
        </w:rPr>
        <w:t>Viet Can New Corp</w:t>
      </w:r>
      <w:r>
        <w:rPr/>
        <w:t xml:space="preserve"> (Georgia, Hoa Kỳ).</w:t>
      </w:r>
    </w:p>
    <w:p>
      <w:pPr>
        <w:pStyle w:val="BodyText"/>
        <w:bidi w:val="0"/>
        <w:spacing w:before="240" w:after="240"/>
        <w:ind w:hanging="0" w:left="240" w:right="240"/>
        <w:jc w:val="left"/>
        <w:rPr>
          <w:bdr w:val="single" w:sz="2" w:space="11" w:color="000000"/>
          <w:shd w:fill="FFFFFF" w:val="clear"/>
        </w:rPr>
      </w:pPr>
      <w:r>
        <w:rPr>
          <w:bdr w:val="single" w:sz="2" w:space="11" w:color="000000"/>
          <w:shd w:fill="FFFFFF" w:val="clear"/>
        </w:rPr>
        <w:t>5,3 triệu+</w:t>
      </w:r>
    </w:p>
    <w:p>
      <w:pPr>
        <w:pStyle w:val="BodyText"/>
        <w:bidi w:val="0"/>
        <w:spacing w:before="240" w:after="240"/>
        <w:ind w:left="240" w:right="240"/>
        <w:jc w:val="left"/>
        <w:rPr>
          <w:bdr w:val="single" w:sz="2" w:space="11" w:color="000000"/>
          <w:shd w:fill="FFFFFF" w:val="clear"/>
        </w:rPr>
      </w:pPr>
      <w:r>
        <w:rPr>
          <w:bdr w:val="single" w:sz="2" w:space="11" w:color="000000"/>
          <w:shd w:fill="FFFFFF" w:val="clear"/>
        </w:rPr>
        <w:t>Cộng đồng người Việt (dân số TAM)</w:t>
      </w:r>
    </w:p>
    <w:p>
      <w:pPr>
        <w:pStyle w:val="BodyText"/>
        <w:bidi w:val="0"/>
        <w:spacing w:before="240" w:after="240"/>
        <w:ind w:hanging="0" w:left="240" w:right="240"/>
        <w:jc w:val="left"/>
        <w:rPr>
          <w:bdr w:val="single" w:sz="2" w:space="11" w:color="000000"/>
          <w:shd w:fill="FFFFFF" w:val="clear"/>
        </w:rPr>
      </w:pPr>
      <w:r>
        <w:rPr>
          <w:bdr w:val="single" w:sz="2" w:space="11" w:color="000000"/>
          <w:shd w:fill="FFFFFF" w:val="clear"/>
        </w:rPr>
        <w:t>2–3 triệu USD</w:t>
      </w:r>
    </w:p>
    <w:p>
      <w:pPr>
        <w:pStyle w:val="BodyText"/>
        <w:bidi w:val="0"/>
        <w:spacing w:before="240" w:after="240"/>
        <w:ind w:left="240" w:right="240"/>
        <w:jc w:val="left"/>
        <w:rPr>
          <w:bdr w:val="single" w:sz="2" w:space="11" w:color="000000"/>
          <w:shd w:fill="FFFFFF" w:val="clear"/>
        </w:rPr>
      </w:pPr>
      <w:r>
        <w:rPr>
          <w:bdr w:val="single" w:sz="2" w:space="11" w:color="000000"/>
          <w:shd w:fill="FFFFFF" w:val="clear"/>
        </w:rPr>
        <w:t>Vòng Series A kêu gọi</w:t>
      </w:r>
    </w:p>
    <w:p>
      <w:pPr>
        <w:pStyle w:val="BodyText"/>
        <w:bidi w:val="0"/>
        <w:spacing w:before="240" w:after="240"/>
        <w:ind w:hanging="0" w:left="240" w:right="240"/>
        <w:jc w:val="left"/>
        <w:rPr>
          <w:bdr w:val="single" w:sz="2" w:space="11" w:color="000000"/>
          <w:shd w:fill="FFFFFF" w:val="clear"/>
        </w:rPr>
      </w:pPr>
      <w:r>
        <w:rPr>
          <w:bdr w:val="single" w:sz="2" w:space="11" w:color="000000"/>
          <w:shd w:fill="FFFFFF" w:val="clear"/>
        </w:rPr>
        <w:t>Layer 0 đã chạy</w:t>
      </w:r>
    </w:p>
    <w:p>
      <w:pPr>
        <w:pStyle w:val="BodyText"/>
        <w:bidi w:val="0"/>
        <w:spacing w:before="240" w:after="240"/>
        <w:ind w:left="240" w:right="240"/>
        <w:jc w:val="left"/>
        <w:rPr>
          <w:bdr w:val="single" w:sz="2" w:space="11" w:color="000000"/>
          <w:shd w:fill="FFFFFF" w:val="clear"/>
        </w:rPr>
      </w:pPr>
      <w:r>
        <w:rPr>
          <w:bdr w:val="single" w:sz="2" w:space="11" w:color="000000"/>
          <w:shd w:fill="FFFFFF" w:val="clear"/>
        </w:rPr>
        <w:t>Nền tảng công khai đã lên production</w:t>
      </w:r>
    </w:p>
    <w:p>
      <w:pPr>
        <w:pStyle w:val="BodyText"/>
        <w:bidi w:val="0"/>
        <w:jc w:val="left"/>
        <w:rPr/>
      </w:pPr>
      <w:r>
        <w:rPr>
          <w:rStyle w:val="Strong"/>
        </w:rPr>
        <w:t>Kêu gọi bao nhiêu và để làm gì.</w:t>
      </w:r>
      <w:r>
        <w:rPr/>
        <w:t xml:space="preserve"> Chúng tôi kêu gọi </w:t>
      </w:r>
      <w:r>
        <w:rPr>
          <w:rStyle w:val="Strong"/>
        </w:rPr>
        <w:t>2–3 triệu USD</w:t>
      </w:r>
      <w:r>
        <w:rPr/>
        <w:t xml:space="preserve"> (Series A) để hoàn thiện pháp lý tại Hoa Kỳ và Việt Nam, ra mắt các lớp tạo doanh thu (Movement Portal và Star Journey OS), xây dựng đội ngũ vận hành và tài trợ chiến lược tiếp cận cộng đồng. Vốn được giải ngân theo các mốc thực thi (milestone).</w:t>
      </w:r>
    </w:p>
    <w:p>
      <w:pPr>
        <w:pStyle w:val="BodyText"/>
        <w:bidi w:val="0"/>
        <w:jc w:val="left"/>
        <w:rPr/>
      </w:pPr>
      <w:r>
        <w:rPr>
          <w:rStyle w:val="Strong"/>
        </w:rPr>
        <w:t>Lưu ý về giai đoạn &amp; minh bạch (đọc trước).</w:t>
      </w:r>
      <w:r>
        <w:rPr/>
        <w:t xml:space="preserve"> DSTS hiện </w:t>
      </w:r>
      <w:r>
        <w:rPr>
          <w:rStyle w:val="Strong"/>
        </w:rPr>
        <w:t>chưa có doanh thu</w:t>
      </w:r>
      <w:r>
        <w:rPr/>
        <w:t xml:space="preserve">. Nền tảng nội dung công khai (Layer 0) đã chạy production; các lớp kiếm tiền đã có đặc tả và xây dựng một phần nhưng chưa ra mắt. Các khoảng định giá và dự phóng tài chính trong tài liệu này là </w:t>
      </w:r>
      <w:r>
        <w:rPr>
          <w:rStyle w:val="Emphasis"/>
        </w:rPr>
        <w:t>nhận định tương lai dựa trên giả định</w:t>
      </w:r>
      <w:r>
        <w:rPr/>
        <w:t xml:space="preserve">, không phải kết quả lịch sử. Chúng tôi trình bày ba kịch bản (thận trọng, cơ sở, lạc quan) để nhà đầu tư đánh giá trung thực. Chúng tôi đề xuất cấu trúc giải ngân theo mốc (hoặc công cụ chuyển đổi/SAFE có trần) chính vì doanh nghiệp đang ở giai đoạn sớm. </w:t>
      </w:r>
    </w:p>
    <w:p>
      <w:pPr>
        <w:pStyle w:val="Heading2sec"/>
        <w:bidi w:val="0"/>
        <w:jc w:val="left"/>
        <w:rPr/>
      </w:pPr>
      <w:r>
        <w:rPr/>
        <w:t>2. Pháp Nhân &amp; Cấu Trúc Pháp Lý</w:t>
      </w:r>
    </w:p>
    <w:p>
      <w:pPr>
        <w:pStyle w:val="Heading3"/>
        <w:bidi w:val="0"/>
        <w:jc w:val="left"/>
        <w:rPr/>
      </w:pPr>
      <w:r>
        <w:rPr/>
        <w:t>2.1 Pháp nhân chịu trách nhiệm (Hoa Kỳ)</w:t>
      </w:r>
    </w:p>
    <w:p>
      <w:pPr>
        <w:pStyle w:val="BodyText"/>
        <w:bidi w:val="0"/>
        <w:jc w:val="left"/>
        <w:rPr/>
      </w:pPr>
      <w:r>
        <w:rPr/>
        <w:t>Toàn bộ trách nhiệm pháp lý và tài chính của nền tảng DSTS thuộc về pháp nhân Hoa Kỳ:</w:t>
      </w:r>
    </w:p>
    <w:tbl>
      <w:tblPr>
        <w:tblW w:w="10205" w:type="dxa"/>
        <w:jc w:val="left"/>
        <w:tblInd w:w="28" w:type="dxa"/>
        <w:tblLayout w:type="fixed"/>
        <w:tblCellMar>
          <w:top w:w="28" w:type="dxa"/>
          <w:left w:w="28" w:type="dxa"/>
          <w:bottom w:w="28" w:type="dxa"/>
          <w:right w:w="28" w:type="dxa"/>
        </w:tblCellMar>
      </w:tblPr>
      <w:tblGrid>
        <w:gridCol w:w="1423"/>
        <w:gridCol w:w="8782"/>
      </w:tblGrid>
      <w:tr>
        <w:trPr/>
        <w:tc>
          <w:tcPr>
            <w:tcW w:w="1423" w:type="dxa"/>
            <w:tcBorders/>
            <w:vAlign w:val="center"/>
          </w:tcPr>
          <w:p>
            <w:pPr>
              <w:pStyle w:val="TableHeading"/>
              <w:suppressLineNumbers/>
              <w:shd w:fill="F2F4F8" w:val="clear"/>
              <w:bidi w:val="0"/>
              <w:jc w:val="left"/>
              <w:rPr/>
            </w:pPr>
            <w:r>
              <w:rPr/>
              <w:t>Pháp nhân</w:t>
            </w:r>
          </w:p>
        </w:tc>
        <w:tc>
          <w:tcPr>
            <w:tcW w:w="8782" w:type="dxa"/>
            <w:tcBorders/>
            <w:vAlign w:val="center"/>
          </w:tcPr>
          <w:p>
            <w:pPr>
              <w:pStyle w:val="TableContents"/>
              <w:widowControl w:val="false"/>
              <w:suppressLineNumbers/>
              <w:bidi w:val="0"/>
              <w:jc w:val="left"/>
              <w:rPr/>
            </w:pPr>
            <w:r>
              <w:rPr>
                <w:rStyle w:val="Strong"/>
              </w:rPr>
              <w:t>VIET CAN NEW CORP</w:t>
            </w:r>
            <w:r>
              <w:rPr/>
              <w:t xml:space="preserve"> (C-Corporation bang Georgia, Hoa Kỳ)</w:t>
            </w:r>
          </w:p>
        </w:tc>
      </w:tr>
      <w:tr>
        <w:trPr/>
        <w:tc>
          <w:tcPr>
            <w:tcW w:w="1423" w:type="dxa"/>
            <w:tcBorders/>
            <w:vAlign w:val="center"/>
          </w:tcPr>
          <w:p>
            <w:pPr>
              <w:pStyle w:val="TableHeading"/>
              <w:suppressLineNumbers/>
              <w:shd w:fill="F2F4F8" w:val="clear"/>
              <w:bidi w:val="0"/>
              <w:jc w:val="left"/>
              <w:rPr/>
            </w:pPr>
            <w:r>
              <w:rPr/>
              <w:t>Địa chỉ đăng ký</w:t>
            </w:r>
          </w:p>
        </w:tc>
        <w:tc>
          <w:tcPr>
            <w:tcW w:w="8782" w:type="dxa"/>
            <w:tcBorders/>
            <w:vAlign w:val="center"/>
          </w:tcPr>
          <w:p>
            <w:pPr>
              <w:pStyle w:val="TableContents"/>
              <w:widowControl w:val="false"/>
              <w:suppressLineNumbers/>
              <w:bidi w:val="0"/>
              <w:jc w:val="left"/>
              <w:rPr/>
            </w:pPr>
            <w:r>
              <w:rPr/>
              <w:t>7722 Stone Meadow Trail, Lithonia, Georgia 30058, Hoa Kỳ</w:t>
            </w:r>
          </w:p>
        </w:tc>
      </w:tr>
      <w:tr>
        <w:trPr/>
        <w:tc>
          <w:tcPr>
            <w:tcW w:w="1423" w:type="dxa"/>
            <w:tcBorders/>
            <w:vAlign w:val="center"/>
          </w:tcPr>
          <w:p>
            <w:pPr>
              <w:pStyle w:val="TableHeading"/>
              <w:suppressLineNumbers/>
              <w:shd w:fill="F2F4F8" w:val="clear"/>
              <w:bidi w:val="0"/>
              <w:jc w:val="left"/>
              <w:rPr/>
            </w:pPr>
            <w:r>
              <w:rPr/>
              <w:t>Email chính thức</w:t>
            </w:r>
          </w:p>
        </w:tc>
        <w:tc>
          <w:tcPr>
            <w:tcW w:w="8782" w:type="dxa"/>
            <w:tcBorders/>
            <w:vAlign w:val="center"/>
          </w:tcPr>
          <w:p>
            <w:pPr>
              <w:pStyle w:val="TableContents"/>
              <w:widowControl w:val="false"/>
              <w:suppressLineNumbers/>
              <w:bidi w:val="0"/>
              <w:jc w:val="left"/>
              <w:rPr/>
            </w:pPr>
            <w:hyperlink r:id="rId5">
              <w:r>
                <w:rPr>
                  <w:rStyle w:val="Hyperlink"/>
                </w:rPr>
                <w:t>contact@duongsaotoasang.com</w:t>
              </w:r>
            </w:hyperlink>
          </w:p>
        </w:tc>
      </w:tr>
      <w:tr>
        <w:trPr/>
        <w:tc>
          <w:tcPr>
            <w:tcW w:w="1423" w:type="dxa"/>
            <w:tcBorders/>
            <w:vAlign w:val="center"/>
          </w:tcPr>
          <w:p>
            <w:pPr>
              <w:pStyle w:val="TableHeading"/>
              <w:suppressLineNumbers/>
              <w:shd w:fill="F2F4F8" w:val="clear"/>
              <w:bidi w:val="0"/>
              <w:jc w:val="left"/>
              <w:rPr/>
            </w:pPr>
            <w:r>
              <w:rPr/>
              <w:t>Vai trò</w:t>
            </w:r>
          </w:p>
        </w:tc>
        <w:tc>
          <w:tcPr>
            <w:tcW w:w="8782" w:type="dxa"/>
            <w:tcBorders/>
            <w:vAlign w:val="center"/>
          </w:tcPr>
          <w:p>
            <w:pPr>
              <w:pStyle w:val="TableContents"/>
              <w:widowControl w:val="false"/>
              <w:suppressLineNumbers/>
              <w:bidi w:val="0"/>
              <w:jc w:val="left"/>
              <w:rPr/>
            </w:pPr>
            <w:r>
              <w:rPr/>
              <w:t>Đơn vị phát hành hồ sơ này; vận hành hoạt động thương mại quốc tế; chịu trách nhiệm pháp lý hoàn toàn và duy nhất đối với nền tảng.</w:t>
            </w:r>
          </w:p>
        </w:tc>
      </w:tr>
    </w:tbl>
    <w:p>
      <w:pPr>
        <w:pStyle w:val="Heading3"/>
        <w:bidi w:val="0"/>
        <w:jc w:val="left"/>
        <w:rPr/>
      </w:pPr>
      <w:r>
        <w:rPr/>
        <w:t>2.2 Đại diện tại Việt Nam (không chịu trách nhiệm pháp lý)</w:t>
      </w:r>
    </w:p>
    <w:p>
      <w:pPr>
        <w:pStyle w:val="BodyText"/>
        <w:bidi w:val="0"/>
        <w:jc w:val="left"/>
        <w:rPr/>
      </w:pPr>
      <w:r>
        <w:rPr/>
        <w:t xml:space="preserve">Tại Việt Nam, DSTS được đại diện cho công tác điều phối và vận hành địa phương bởi </w:t>
      </w:r>
      <w:r>
        <w:rPr>
          <w:rStyle w:val="Strong"/>
        </w:rPr>
        <w:t>Công ty Cổ phần Giải trí Ngôi Sao Việt Can</w:t>
      </w:r>
      <w:r>
        <w:rPr/>
        <w:t xml:space="preserve"> (MST 0315462505). Việc đại diện này </w:t>
      </w:r>
      <w:r>
        <w:rPr>
          <w:rStyle w:val="Strong"/>
        </w:rPr>
        <w:t>chỉ mang tính vận hành và không chịu bất kỳ trách nhiệm pháp lý nào</w:t>
      </w:r>
      <w:r>
        <w:rPr/>
        <w:t xml:space="preserve"> đối với khoản đầu tư; pháp nhân Hoa Kỳ (Viet Can New Corp) chịu trách nhiệm hoàn toàn và duy nhất.</w:t>
      </w:r>
    </w:p>
    <w:p>
      <w:pPr>
        <w:pStyle w:val="Heading3"/>
        <w:bidi w:val="0"/>
        <w:jc w:val="left"/>
        <w:rPr/>
      </w:pPr>
      <w:r>
        <w:rPr/>
        <w:t>2.3 Tường lửa pháp lý ba làn</w:t>
      </w:r>
    </w:p>
    <w:tbl>
      <w:tblPr>
        <w:tblW w:w="10205" w:type="dxa"/>
        <w:jc w:val="left"/>
        <w:tblInd w:w="28" w:type="dxa"/>
        <w:tblLayout w:type="fixed"/>
        <w:tblCellMar>
          <w:top w:w="28" w:type="dxa"/>
          <w:left w:w="28" w:type="dxa"/>
          <w:bottom w:w="28" w:type="dxa"/>
          <w:right w:w="28" w:type="dxa"/>
        </w:tblCellMar>
      </w:tblPr>
      <w:tblGrid>
        <w:gridCol w:w="1606"/>
        <w:gridCol w:w="3986"/>
        <w:gridCol w:w="4613"/>
      </w:tblGrid>
      <w:tr>
        <w:trPr/>
        <w:tc>
          <w:tcPr>
            <w:tcW w:w="1606" w:type="dxa"/>
            <w:tcBorders/>
            <w:vAlign w:val="center"/>
          </w:tcPr>
          <w:p>
            <w:pPr>
              <w:pStyle w:val="TableHeading"/>
              <w:suppressLineNumbers/>
              <w:shd w:fill="F2F4F8" w:val="clear"/>
              <w:bidi w:val="0"/>
              <w:jc w:val="left"/>
              <w:rPr/>
            </w:pPr>
            <w:r>
              <w:rPr/>
              <w:t>Làn</w:t>
            </w:r>
          </w:p>
        </w:tc>
        <w:tc>
          <w:tcPr>
            <w:tcW w:w="3986" w:type="dxa"/>
            <w:tcBorders/>
            <w:vAlign w:val="center"/>
          </w:tcPr>
          <w:p>
            <w:pPr>
              <w:pStyle w:val="TableHeading"/>
              <w:suppressLineNumbers/>
              <w:shd w:fill="F2F4F8" w:val="clear"/>
              <w:bidi w:val="0"/>
              <w:jc w:val="left"/>
              <w:rPr/>
            </w:pPr>
            <w:r>
              <w:rPr/>
              <w:t>Mục đích</w:t>
            </w:r>
          </w:p>
        </w:tc>
        <w:tc>
          <w:tcPr>
            <w:tcW w:w="4613" w:type="dxa"/>
            <w:tcBorders/>
            <w:vAlign w:val="center"/>
          </w:tcPr>
          <w:p>
            <w:pPr>
              <w:pStyle w:val="TableHeading"/>
              <w:suppressLineNumbers/>
              <w:shd w:fill="F2F4F8" w:val="clear"/>
              <w:bidi w:val="0"/>
              <w:jc w:val="left"/>
              <w:rPr/>
            </w:pPr>
            <w:r>
              <w:rPr/>
              <w:t>Ghi chú</w:t>
            </w:r>
          </w:p>
        </w:tc>
      </w:tr>
      <w:tr>
        <w:trPr/>
        <w:tc>
          <w:tcPr>
            <w:tcW w:w="1606" w:type="dxa"/>
            <w:tcBorders/>
            <w:vAlign w:val="center"/>
          </w:tcPr>
          <w:p>
            <w:pPr>
              <w:pStyle w:val="TableContents"/>
              <w:widowControl w:val="false"/>
              <w:suppressLineNumbers/>
              <w:bidi w:val="0"/>
              <w:jc w:val="left"/>
              <w:rPr/>
            </w:pPr>
            <w:r>
              <w:rPr/>
              <w:t>A — Thương mại</w:t>
            </w:r>
          </w:p>
        </w:tc>
        <w:tc>
          <w:tcPr>
            <w:tcW w:w="3986" w:type="dxa"/>
            <w:tcBorders/>
            <w:vAlign w:val="center"/>
          </w:tcPr>
          <w:p>
            <w:pPr>
              <w:pStyle w:val="TableContents"/>
              <w:widowControl w:val="false"/>
              <w:suppressLineNumbers/>
              <w:bidi w:val="0"/>
              <w:jc w:val="left"/>
              <w:rPr/>
            </w:pPr>
            <w:r>
              <w:rPr/>
              <w:t>Huấn luyện, hội viên, sự kiện, tài trợ thương mại, truyền thông/IP</w:t>
            </w:r>
          </w:p>
        </w:tc>
        <w:tc>
          <w:tcPr>
            <w:tcW w:w="4613" w:type="dxa"/>
            <w:tcBorders/>
            <w:vAlign w:val="center"/>
          </w:tcPr>
          <w:p>
            <w:pPr>
              <w:pStyle w:val="TableContents"/>
              <w:widowControl w:val="false"/>
              <w:suppressLineNumbers/>
              <w:bidi w:val="0"/>
              <w:jc w:val="left"/>
              <w:rPr/>
            </w:pPr>
            <w:r>
              <w:rPr/>
              <w:t>Vì lợi nhuận; vòng Series A này tài trợ cho pháp nhân thương mại.</w:t>
            </w:r>
          </w:p>
        </w:tc>
      </w:tr>
      <w:tr>
        <w:trPr/>
        <w:tc>
          <w:tcPr>
            <w:tcW w:w="1606" w:type="dxa"/>
            <w:tcBorders/>
            <w:vAlign w:val="center"/>
          </w:tcPr>
          <w:p>
            <w:pPr>
              <w:pStyle w:val="TableContents"/>
              <w:widowControl w:val="false"/>
              <w:suppressLineNumbers/>
              <w:bidi w:val="0"/>
              <w:jc w:val="left"/>
              <w:rPr/>
            </w:pPr>
            <w:r>
              <w:rPr/>
              <w:t>B — Phi lợi nhuận</w:t>
            </w:r>
          </w:p>
        </w:tc>
        <w:tc>
          <w:tcPr>
            <w:tcW w:w="3986" w:type="dxa"/>
            <w:tcBorders/>
            <w:vAlign w:val="center"/>
          </w:tcPr>
          <w:p>
            <w:pPr>
              <w:pStyle w:val="TableContents"/>
              <w:widowControl w:val="false"/>
              <w:suppressLineNumbers/>
              <w:bidi w:val="0"/>
              <w:jc w:val="left"/>
              <w:rPr/>
            </w:pPr>
            <w:r>
              <w:rPr/>
              <w:t>Đóng góp, chương trình trẻ em (NDNUM), học bổng</w:t>
            </w:r>
          </w:p>
        </w:tc>
        <w:tc>
          <w:tcPr>
            <w:tcW w:w="4613" w:type="dxa"/>
            <w:tcBorders/>
            <w:vAlign w:val="center"/>
          </w:tcPr>
          <w:p>
            <w:pPr>
              <w:pStyle w:val="TableContents"/>
              <w:widowControl w:val="false"/>
              <w:suppressLineNumbers/>
              <w:bidi w:val="0"/>
              <w:jc w:val="left"/>
              <w:rPr/>
            </w:pPr>
            <w:r>
              <w:rPr/>
              <w:t>Tách biệt; đóng góp không bao giờ là đầu tư.</w:t>
            </w:r>
          </w:p>
        </w:tc>
      </w:tr>
      <w:tr>
        <w:trPr/>
        <w:tc>
          <w:tcPr>
            <w:tcW w:w="1606" w:type="dxa"/>
            <w:tcBorders/>
            <w:vAlign w:val="center"/>
          </w:tcPr>
          <w:p>
            <w:pPr>
              <w:pStyle w:val="TableContents"/>
              <w:widowControl w:val="false"/>
              <w:suppressLineNumbers/>
              <w:bidi w:val="0"/>
              <w:jc w:val="left"/>
              <w:rPr/>
            </w:pPr>
            <w:r>
              <w:rPr/>
              <w:t>C — Đầu tư</w:t>
            </w:r>
          </w:p>
        </w:tc>
        <w:tc>
          <w:tcPr>
            <w:tcW w:w="3986" w:type="dxa"/>
            <w:tcBorders/>
            <w:vAlign w:val="center"/>
          </w:tcPr>
          <w:p>
            <w:pPr>
              <w:pStyle w:val="TableContents"/>
              <w:widowControl w:val="false"/>
              <w:suppressLineNumbers/>
              <w:bidi w:val="0"/>
              <w:jc w:val="left"/>
              <w:rPr/>
            </w:pPr>
            <w:r>
              <w:rPr/>
              <w:t>Cổ phần / công cụ chuyển đổi</w:t>
            </w:r>
          </w:p>
        </w:tc>
        <w:tc>
          <w:tcPr>
            <w:tcW w:w="4613" w:type="dxa"/>
            <w:tcBorders/>
            <w:vAlign w:val="center"/>
          </w:tcPr>
          <w:p>
            <w:pPr>
              <w:pStyle w:val="TableContents"/>
              <w:widowControl w:val="false"/>
              <w:suppressLineNumbers/>
              <w:bidi w:val="0"/>
              <w:jc w:val="left"/>
              <w:rPr/>
            </w:pPr>
            <w:r>
              <w:rPr/>
              <w:t>Riêng tư, có kiểm soát, chỉ nhà đầu tư đủ điều kiện; theo tư vấn chứng khoán.</w:t>
            </w:r>
          </w:p>
        </w:tc>
      </w:tr>
    </w:tbl>
    <w:p>
      <w:pPr>
        <w:pStyle w:val="BodyText"/>
        <w:bidi w:val="0"/>
        <w:jc w:val="left"/>
        <w:rPr/>
      </w:pPr>
      <w:r>
        <w:rPr/>
        <w:t>Làn đầu tư (Làn C) được giữ riêng tư và tách biệt khỏi làn đóng góp công khai và chương trình trẻ em. Hồ sơ này được phân phối riêng tư và không phải là chào bán công khai.</w:t>
      </w:r>
    </w:p>
    <w:p>
      <w:pPr>
        <w:pStyle w:val="Heading2sec"/>
        <w:bidi w:val="0"/>
        <w:jc w:val="left"/>
        <w:rPr/>
      </w:pPr>
      <w:r>
        <w:rPr/>
        <w:t>3. Vấn Đề &amp; Cơ Hội</w:t>
      </w:r>
    </w:p>
    <w:p>
      <w:pPr>
        <w:pStyle w:val="BodyText"/>
        <w:bidi w:val="0"/>
        <w:jc w:val="left"/>
        <w:rPr/>
      </w:pPr>
      <w:r>
        <w:rPr/>
        <w:t xml:space="preserve">Cộng đồng người Việt gửi về nước ước tính </w:t>
      </w:r>
      <w:r>
        <w:rPr>
          <w:rStyle w:val="Strong"/>
        </w:rPr>
        <w:t>~18 tỷ USD/năm</w:t>
      </w:r>
      <w:r>
        <w:rPr/>
        <w:t xml:space="preserve"> kiều hối, nhưng chưa có nền tảng đáng tin cậy, minh bạch và "thuần cộng đồng" để dẫn cả dòng tiền lẫn cố vấn đến tài năng và tác động được xác minh. Các lựa chọn hiện tại rời rạc: gọi vốn cộng đồng chung chung (không xác minh, không hành trình), chuyển tiền gia đình phi chính thức (thiếu minh bạch), và tổ chức từ thiện truyền thống (ít thiết kế riêng cho cộng đồng hải ngoại). DSTS kết hợp xác minh, hành trình có cấu trúc và báo cáo minh bạch trong một hệ sinh thái song ngữ.</w:t>
      </w:r>
    </w:p>
    <w:p>
      <w:pPr>
        <w:pStyle w:val="Heading2sec"/>
        <w:bidi w:val="0"/>
        <w:jc w:val="left"/>
        <w:rPr/>
      </w:pPr>
      <w:r>
        <w:rPr/>
        <w:t>4. Sản Phẩm &amp; Hệ Sinh Thái</w:t>
      </w:r>
    </w:p>
    <w:tbl>
      <w:tblPr>
        <w:tblW w:w="10205" w:type="dxa"/>
        <w:jc w:val="left"/>
        <w:tblInd w:w="28" w:type="dxa"/>
        <w:tblLayout w:type="fixed"/>
        <w:tblCellMar>
          <w:top w:w="28" w:type="dxa"/>
          <w:left w:w="28" w:type="dxa"/>
          <w:bottom w:w="28" w:type="dxa"/>
          <w:right w:w="28" w:type="dxa"/>
        </w:tblCellMar>
      </w:tblPr>
      <w:tblGrid>
        <w:gridCol w:w="2519"/>
        <w:gridCol w:w="4005"/>
        <w:gridCol w:w="1932"/>
        <w:gridCol w:w="1749"/>
      </w:tblGrid>
      <w:tr>
        <w:trPr/>
        <w:tc>
          <w:tcPr>
            <w:tcW w:w="2519" w:type="dxa"/>
            <w:tcBorders/>
            <w:vAlign w:val="center"/>
          </w:tcPr>
          <w:p>
            <w:pPr>
              <w:pStyle w:val="TableHeading"/>
              <w:suppressLineNumbers/>
              <w:shd w:fill="F2F4F8" w:val="clear"/>
              <w:bidi w:val="0"/>
              <w:jc w:val="left"/>
              <w:rPr/>
            </w:pPr>
            <w:r>
              <w:rPr/>
              <w:t>Lớp</w:t>
            </w:r>
          </w:p>
        </w:tc>
        <w:tc>
          <w:tcPr>
            <w:tcW w:w="4005" w:type="dxa"/>
            <w:tcBorders/>
            <w:vAlign w:val="center"/>
          </w:tcPr>
          <w:p>
            <w:pPr>
              <w:pStyle w:val="TableHeading"/>
              <w:suppressLineNumbers/>
              <w:shd w:fill="F2F4F8" w:val="clear"/>
              <w:bidi w:val="0"/>
              <w:jc w:val="left"/>
              <w:rPr/>
            </w:pPr>
            <w:r>
              <w:rPr/>
              <w:t>Chức năng</w:t>
            </w:r>
          </w:p>
        </w:tc>
        <w:tc>
          <w:tcPr>
            <w:tcW w:w="1932" w:type="dxa"/>
            <w:tcBorders/>
            <w:vAlign w:val="center"/>
          </w:tcPr>
          <w:p>
            <w:pPr>
              <w:pStyle w:val="TableHeading"/>
              <w:suppressLineNumbers/>
              <w:shd w:fill="F2F4F8" w:val="clear"/>
              <w:bidi w:val="0"/>
              <w:jc w:val="left"/>
              <w:rPr/>
            </w:pPr>
            <w:r>
              <w:rPr/>
              <w:t>Doanh thu chính</w:t>
            </w:r>
          </w:p>
        </w:tc>
        <w:tc>
          <w:tcPr>
            <w:tcW w:w="1749" w:type="dxa"/>
            <w:tcBorders/>
            <w:vAlign w:val="center"/>
          </w:tcPr>
          <w:p>
            <w:pPr>
              <w:pStyle w:val="TableHeading"/>
              <w:suppressLineNumbers/>
              <w:shd w:fill="F2F4F8" w:val="clear"/>
              <w:bidi w:val="0"/>
              <w:jc w:val="left"/>
              <w:rPr/>
            </w:pPr>
            <w:r>
              <w:rPr/>
              <w:t>Trạng thái</w:t>
            </w:r>
          </w:p>
        </w:tc>
      </w:tr>
      <w:tr>
        <w:trPr/>
        <w:tc>
          <w:tcPr>
            <w:tcW w:w="2519" w:type="dxa"/>
            <w:tcBorders/>
            <w:vAlign w:val="center"/>
          </w:tcPr>
          <w:p>
            <w:pPr>
              <w:pStyle w:val="TableContents"/>
              <w:widowControl w:val="false"/>
              <w:suppressLineNumbers/>
              <w:bidi w:val="0"/>
              <w:jc w:val="left"/>
              <w:rPr/>
            </w:pPr>
            <w:r>
              <w:rPr/>
              <w:t>0 — Nền tảng</w:t>
            </w:r>
          </w:p>
        </w:tc>
        <w:tc>
          <w:tcPr>
            <w:tcW w:w="4005" w:type="dxa"/>
            <w:tcBorders/>
            <w:vAlign w:val="center"/>
          </w:tcPr>
          <w:p>
            <w:pPr>
              <w:pStyle w:val="TableContents"/>
              <w:widowControl w:val="false"/>
              <w:suppressLineNumbers/>
              <w:bidi w:val="0"/>
              <w:jc w:val="left"/>
              <w:rPr/>
            </w:pPr>
            <w:r>
              <w:rPr/>
              <w:t>Nội dung công khai, thư viện câu chuyện, danh bạ cố vấn, SEO</w:t>
            </w:r>
          </w:p>
        </w:tc>
        <w:tc>
          <w:tcPr>
            <w:tcW w:w="1932" w:type="dxa"/>
            <w:tcBorders/>
            <w:vAlign w:val="center"/>
          </w:tcPr>
          <w:p>
            <w:pPr>
              <w:pStyle w:val="TableContents"/>
              <w:widowControl w:val="false"/>
              <w:suppressLineNumbers/>
              <w:bidi w:val="0"/>
              <w:jc w:val="left"/>
              <w:rPr/>
            </w:pPr>
            <w:r>
              <w:rPr/>
              <w:t>Đầu phễu (miễn phí)</w:t>
            </w:r>
          </w:p>
        </w:tc>
        <w:tc>
          <w:tcPr>
            <w:tcW w:w="1749" w:type="dxa"/>
            <w:tcBorders/>
            <w:vAlign w:val="center"/>
          </w:tcPr>
          <w:p>
            <w:pPr>
              <w:pStyle w:val="TableContents"/>
              <w:widowControl w:val="false"/>
              <w:suppressLineNumbers/>
              <w:bidi w:val="0"/>
              <w:jc w:val="left"/>
              <w:rPr/>
            </w:pPr>
            <w:r>
              <w:rPr>
                <w:rStyle w:val="Strong"/>
              </w:rPr>
              <w:t>Đã chạy</w:t>
            </w:r>
          </w:p>
        </w:tc>
      </w:tr>
      <w:tr>
        <w:trPr/>
        <w:tc>
          <w:tcPr>
            <w:tcW w:w="2519" w:type="dxa"/>
            <w:tcBorders/>
            <w:vAlign w:val="center"/>
          </w:tcPr>
          <w:p>
            <w:pPr>
              <w:pStyle w:val="TableContents"/>
              <w:widowControl w:val="false"/>
              <w:suppressLineNumbers/>
              <w:bidi w:val="0"/>
              <w:jc w:val="left"/>
              <w:rPr/>
            </w:pPr>
            <w:r>
              <w:rPr/>
              <w:t>1 — Movement Portal</w:t>
            </w:r>
          </w:p>
        </w:tc>
        <w:tc>
          <w:tcPr>
            <w:tcW w:w="4005" w:type="dxa"/>
            <w:tcBorders/>
            <w:vAlign w:val="center"/>
          </w:tcPr>
          <w:p>
            <w:pPr>
              <w:pStyle w:val="TableContents"/>
              <w:widowControl w:val="false"/>
              <w:suppressLineNumbers/>
              <w:bidi w:val="0"/>
              <w:jc w:val="left"/>
              <w:rPr/>
            </w:pPr>
            <w:r>
              <w:rPr/>
              <w:t>Gói tài trợ, sự kiện/tour, bản đồ cộng đồng</w:t>
            </w:r>
          </w:p>
        </w:tc>
        <w:tc>
          <w:tcPr>
            <w:tcW w:w="1932" w:type="dxa"/>
            <w:tcBorders/>
            <w:vAlign w:val="center"/>
          </w:tcPr>
          <w:p>
            <w:pPr>
              <w:pStyle w:val="TableContents"/>
              <w:widowControl w:val="false"/>
              <w:suppressLineNumbers/>
              <w:bidi w:val="0"/>
              <w:jc w:val="left"/>
              <w:rPr/>
            </w:pPr>
            <w:r>
              <w:rPr/>
              <w:t>Tài trợ, vé</w:t>
            </w:r>
          </w:p>
        </w:tc>
        <w:tc>
          <w:tcPr>
            <w:tcW w:w="1749" w:type="dxa"/>
            <w:tcBorders/>
            <w:vAlign w:val="center"/>
          </w:tcPr>
          <w:p>
            <w:pPr>
              <w:pStyle w:val="TableContents"/>
              <w:widowControl w:val="false"/>
              <w:suppressLineNumbers/>
              <w:bidi w:val="0"/>
              <w:jc w:val="left"/>
              <w:rPr/>
            </w:pPr>
            <w:r>
              <w:rPr/>
              <w:t>Đã đặc tả; xây tiếp theo</w:t>
            </w:r>
          </w:p>
        </w:tc>
      </w:tr>
      <w:tr>
        <w:trPr/>
        <w:tc>
          <w:tcPr>
            <w:tcW w:w="2519" w:type="dxa"/>
            <w:tcBorders/>
            <w:vAlign w:val="center"/>
          </w:tcPr>
          <w:p>
            <w:pPr>
              <w:pStyle w:val="TableContents"/>
              <w:widowControl w:val="false"/>
              <w:suppressLineNumbers/>
              <w:bidi w:val="0"/>
              <w:jc w:val="left"/>
              <w:rPr/>
            </w:pPr>
            <w:r>
              <w:rPr/>
              <w:t>2 — Star Journey OS</w:t>
            </w:r>
          </w:p>
        </w:tc>
        <w:tc>
          <w:tcPr>
            <w:tcW w:w="4005" w:type="dxa"/>
            <w:tcBorders/>
            <w:vAlign w:val="center"/>
          </w:tcPr>
          <w:p>
            <w:pPr>
              <w:pStyle w:val="TableContents"/>
              <w:widowControl w:val="false"/>
              <w:suppressLineNumbers/>
              <w:bidi w:val="0"/>
              <w:jc w:val="left"/>
              <w:rPr/>
            </w:pPr>
            <w:r>
              <w:rPr/>
              <w:t>Đánh giá, hành trình huấn luyện, ghép cố vấn</w:t>
            </w:r>
          </w:p>
        </w:tc>
        <w:tc>
          <w:tcPr>
            <w:tcW w:w="1932" w:type="dxa"/>
            <w:tcBorders/>
            <w:vAlign w:val="center"/>
          </w:tcPr>
          <w:p>
            <w:pPr>
              <w:pStyle w:val="TableContents"/>
              <w:widowControl w:val="false"/>
              <w:suppressLineNumbers/>
              <w:bidi w:val="0"/>
              <w:jc w:val="left"/>
              <w:rPr/>
            </w:pPr>
            <w:r>
              <w:rPr/>
              <w:t>Hội viên, huấn luyện</w:t>
            </w:r>
          </w:p>
        </w:tc>
        <w:tc>
          <w:tcPr>
            <w:tcW w:w="1749" w:type="dxa"/>
            <w:tcBorders/>
            <w:vAlign w:val="center"/>
          </w:tcPr>
          <w:p>
            <w:pPr>
              <w:pStyle w:val="TableContents"/>
              <w:widowControl w:val="false"/>
              <w:suppressLineNumbers/>
              <w:bidi w:val="0"/>
              <w:jc w:val="left"/>
              <w:rPr/>
            </w:pPr>
            <w:r>
              <w:rPr/>
              <w:t>Đã đặc tả</w:t>
            </w:r>
          </w:p>
        </w:tc>
      </w:tr>
      <w:tr>
        <w:trPr/>
        <w:tc>
          <w:tcPr>
            <w:tcW w:w="2519" w:type="dxa"/>
            <w:tcBorders/>
            <w:vAlign w:val="center"/>
          </w:tcPr>
          <w:p>
            <w:pPr>
              <w:pStyle w:val="TableContents"/>
              <w:widowControl w:val="false"/>
              <w:suppressLineNumbers/>
              <w:bidi w:val="0"/>
              <w:jc w:val="left"/>
              <w:rPr/>
            </w:pPr>
            <w:r>
              <w:rPr/>
              <w:t>3 — DSTS Club</w:t>
            </w:r>
          </w:p>
        </w:tc>
        <w:tc>
          <w:tcPr>
            <w:tcW w:w="4005" w:type="dxa"/>
            <w:tcBorders/>
            <w:vAlign w:val="center"/>
          </w:tcPr>
          <w:p>
            <w:pPr>
              <w:pStyle w:val="TableContents"/>
              <w:widowControl w:val="false"/>
              <w:suppressLineNumbers/>
              <w:bidi w:val="0"/>
              <w:jc w:val="left"/>
              <w:rPr/>
            </w:pPr>
            <w:r>
              <w:rPr/>
              <w:t>Kinh tế nhà sáng tạo, talk show, điểm thưởng</w:t>
            </w:r>
          </w:p>
        </w:tc>
        <w:tc>
          <w:tcPr>
            <w:tcW w:w="1932" w:type="dxa"/>
            <w:tcBorders/>
            <w:vAlign w:val="center"/>
          </w:tcPr>
          <w:p>
            <w:pPr>
              <w:pStyle w:val="TableContents"/>
              <w:widowControl w:val="false"/>
              <w:suppressLineNumbers/>
              <w:bidi w:val="0"/>
              <w:jc w:val="left"/>
              <w:rPr/>
            </w:pPr>
            <w:r>
              <w:rPr/>
              <w:t>Hội viên, chia sẻ doanh thu</w:t>
            </w:r>
          </w:p>
        </w:tc>
        <w:tc>
          <w:tcPr>
            <w:tcW w:w="1749" w:type="dxa"/>
            <w:tcBorders/>
            <w:vAlign w:val="center"/>
          </w:tcPr>
          <w:p>
            <w:pPr>
              <w:pStyle w:val="TableContents"/>
              <w:widowControl w:val="false"/>
              <w:suppressLineNumbers/>
              <w:bidi w:val="0"/>
              <w:jc w:val="left"/>
              <w:rPr/>
            </w:pPr>
            <w:r>
              <w:rPr/>
              <w:t>Đang phát triển</w:t>
            </w:r>
          </w:p>
        </w:tc>
      </w:tr>
      <w:tr>
        <w:trPr/>
        <w:tc>
          <w:tcPr>
            <w:tcW w:w="2519" w:type="dxa"/>
            <w:tcBorders/>
            <w:vAlign w:val="center"/>
          </w:tcPr>
          <w:p>
            <w:pPr>
              <w:pStyle w:val="TableContents"/>
              <w:widowControl w:val="false"/>
              <w:suppressLineNumbers/>
              <w:bidi w:val="0"/>
              <w:jc w:val="left"/>
              <w:rPr/>
            </w:pPr>
            <w:r>
              <w:rPr/>
              <w:t>5 — Trust &amp; Legacy</w:t>
            </w:r>
          </w:p>
        </w:tc>
        <w:tc>
          <w:tcPr>
            <w:tcW w:w="4005" w:type="dxa"/>
            <w:tcBorders/>
            <w:vAlign w:val="center"/>
          </w:tcPr>
          <w:p>
            <w:pPr>
              <w:pStyle w:val="TableContents"/>
              <w:widowControl w:val="false"/>
              <w:suppressLineNumbers/>
              <w:bidi w:val="0"/>
              <w:jc w:val="left"/>
              <w:rPr/>
            </w:pPr>
            <w:r>
              <w:rPr/>
              <w:t>Danh tính xác minh, điểm tín nhiệm, lưu trữ</w:t>
            </w:r>
          </w:p>
        </w:tc>
        <w:tc>
          <w:tcPr>
            <w:tcW w:w="1932" w:type="dxa"/>
            <w:tcBorders/>
            <w:vAlign w:val="center"/>
          </w:tcPr>
          <w:p>
            <w:pPr>
              <w:pStyle w:val="TableContents"/>
              <w:widowControl w:val="false"/>
              <w:suppressLineNumbers/>
              <w:bidi w:val="0"/>
              <w:jc w:val="left"/>
              <w:rPr/>
            </w:pPr>
            <w:r>
              <w:rPr/>
              <w:t>Gói lưu trữ cao cấp</w:t>
            </w:r>
          </w:p>
        </w:tc>
        <w:tc>
          <w:tcPr>
            <w:tcW w:w="1749" w:type="dxa"/>
            <w:tcBorders/>
            <w:vAlign w:val="center"/>
          </w:tcPr>
          <w:p>
            <w:pPr>
              <w:pStyle w:val="TableContents"/>
              <w:widowControl w:val="false"/>
              <w:suppressLineNumbers/>
              <w:bidi w:val="0"/>
              <w:jc w:val="left"/>
              <w:rPr/>
            </w:pPr>
            <w:r>
              <w:rPr/>
              <w:t>Đã đặc tả</w:t>
            </w:r>
          </w:p>
        </w:tc>
      </w:tr>
      <w:tr>
        <w:trPr/>
        <w:tc>
          <w:tcPr>
            <w:tcW w:w="2519" w:type="dxa"/>
            <w:tcBorders/>
            <w:vAlign w:val="center"/>
          </w:tcPr>
          <w:p>
            <w:pPr>
              <w:pStyle w:val="TableContents"/>
              <w:widowControl w:val="false"/>
              <w:suppressLineNumbers/>
              <w:bidi w:val="0"/>
              <w:jc w:val="left"/>
              <w:rPr/>
            </w:pPr>
            <w:r>
              <w:rPr/>
              <w:t>6 — Bản đồ người Việt toàn cầu</w:t>
            </w:r>
          </w:p>
        </w:tc>
        <w:tc>
          <w:tcPr>
            <w:tcW w:w="4005" w:type="dxa"/>
            <w:tcBorders/>
            <w:vAlign w:val="center"/>
          </w:tcPr>
          <w:p>
            <w:pPr>
              <w:pStyle w:val="TableContents"/>
              <w:widowControl w:val="false"/>
              <w:suppressLineNumbers/>
              <w:bidi w:val="0"/>
              <w:jc w:val="left"/>
              <w:rPr/>
            </w:pPr>
            <w:r>
              <w:rPr/>
              <w:t>Mạng lưới người Việt thành đạt</w:t>
            </w:r>
          </w:p>
        </w:tc>
        <w:tc>
          <w:tcPr>
            <w:tcW w:w="1932" w:type="dxa"/>
            <w:tcBorders/>
            <w:vAlign w:val="center"/>
          </w:tcPr>
          <w:p>
            <w:pPr>
              <w:pStyle w:val="TableContents"/>
              <w:widowControl w:val="false"/>
              <w:suppressLineNumbers/>
              <w:bidi w:val="0"/>
              <w:jc w:val="left"/>
              <w:rPr/>
            </w:pPr>
            <w:r>
              <w:rPr/>
              <w:t>Miễn phí (hiệu ứng mạng)</w:t>
            </w:r>
          </w:p>
        </w:tc>
        <w:tc>
          <w:tcPr>
            <w:tcW w:w="1749" w:type="dxa"/>
            <w:tcBorders/>
            <w:vAlign w:val="center"/>
          </w:tcPr>
          <w:p>
            <w:pPr>
              <w:pStyle w:val="TableContents"/>
              <w:widowControl w:val="false"/>
              <w:suppressLineNumbers/>
              <w:bidi w:val="0"/>
              <w:jc w:val="left"/>
              <w:rPr/>
            </w:pPr>
            <w:r>
              <w:rPr/>
              <w:t>Đã đặc tả</w:t>
            </w:r>
          </w:p>
        </w:tc>
      </w:tr>
    </w:tbl>
    <w:p>
      <w:pPr>
        <w:pStyle w:val="Heading2sec"/>
        <w:bidi w:val="0"/>
        <w:jc w:val="left"/>
        <w:rPr/>
      </w:pPr>
      <w:r>
        <w:rPr/>
        <w:t>5. Mô Hình Kinh Doanh &amp; Nguồn Doanh Thu</w:t>
      </w:r>
    </w:p>
    <w:p>
      <w:pPr>
        <w:pStyle w:val="BodyText"/>
        <w:bidi w:val="0"/>
        <w:jc w:val="left"/>
        <w:rPr/>
      </w:pPr>
      <w:r>
        <w:rPr/>
        <w:t xml:space="preserve">Số liệu USD là chính; VND là phụ theo tỷ giá tham chiếu </w:t>
      </w:r>
      <w:r>
        <w:rPr>
          <w:rStyle w:val="Strong"/>
        </w:rPr>
        <w:t>1 USD ≈ 25.400 VND</w:t>
      </w:r>
      <w:r>
        <w:rPr/>
        <w:t xml:space="preserve"> (tháng 6/2026).</w:t>
      </w:r>
    </w:p>
    <w:tbl>
      <w:tblPr>
        <w:tblW w:w="10205" w:type="dxa"/>
        <w:jc w:val="left"/>
        <w:tblInd w:w="28" w:type="dxa"/>
        <w:tblLayout w:type="fixed"/>
        <w:tblCellMar>
          <w:top w:w="28" w:type="dxa"/>
          <w:left w:w="28" w:type="dxa"/>
          <w:bottom w:w="28" w:type="dxa"/>
          <w:right w:w="28" w:type="dxa"/>
        </w:tblCellMar>
      </w:tblPr>
      <w:tblGrid>
        <w:gridCol w:w="2646"/>
        <w:gridCol w:w="3393"/>
        <w:gridCol w:w="4166"/>
      </w:tblGrid>
      <w:tr>
        <w:trPr/>
        <w:tc>
          <w:tcPr>
            <w:tcW w:w="2646" w:type="dxa"/>
            <w:tcBorders/>
            <w:vAlign w:val="center"/>
          </w:tcPr>
          <w:p>
            <w:pPr>
              <w:pStyle w:val="TableHeading"/>
              <w:suppressLineNumbers/>
              <w:shd w:fill="F2F4F8" w:val="clear"/>
              <w:bidi w:val="0"/>
              <w:jc w:val="left"/>
              <w:rPr/>
            </w:pPr>
            <w:r>
              <w:rPr/>
              <w:t>Nguồn</w:t>
            </w:r>
          </w:p>
        </w:tc>
        <w:tc>
          <w:tcPr>
            <w:tcW w:w="3393" w:type="dxa"/>
            <w:tcBorders/>
            <w:vAlign w:val="center"/>
          </w:tcPr>
          <w:p>
            <w:pPr>
              <w:pStyle w:val="TableHeading"/>
              <w:suppressLineNumbers/>
              <w:shd w:fill="F2F4F8" w:val="clear"/>
              <w:bidi w:val="0"/>
              <w:jc w:val="left"/>
              <w:rPr/>
            </w:pPr>
            <w:r>
              <w:rPr/>
              <w:t>Giá tham chiếu</w:t>
            </w:r>
          </w:p>
        </w:tc>
        <w:tc>
          <w:tcPr>
            <w:tcW w:w="4166" w:type="dxa"/>
            <w:tcBorders/>
            <w:vAlign w:val="center"/>
          </w:tcPr>
          <w:p>
            <w:pPr>
              <w:pStyle w:val="TableHeading"/>
              <w:suppressLineNumbers/>
              <w:shd w:fill="F2F4F8" w:val="clear"/>
              <w:bidi w:val="0"/>
              <w:jc w:val="left"/>
              <w:rPr/>
            </w:pPr>
            <w:r>
              <w:rPr/>
              <w:t>Cơ chế nền tảng</w:t>
            </w:r>
          </w:p>
        </w:tc>
      </w:tr>
      <w:tr>
        <w:trPr/>
        <w:tc>
          <w:tcPr>
            <w:tcW w:w="2646" w:type="dxa"/>
            <w:tcBorders/>
            <w:vAlign w:val="center"/>
          </w:tcPr>
          <w:p>
            <w:pPr>
              <w:pStyle w:val="TableContents"/>
              <w:widowControl w:val="false"/>
              <w:suppressLineNumbers/>
              <w:bidi w:val="0"/>
              <w:jc w:val="left"/>
              <w:rPr/>
            </w:pPr>
            <w:r>
              <w:rPr/>
              <w:t>Hội viên (Member / Circle / Inner Circle)</w:t>
            </w:r>
          </w:p>
        </w:tc>
        <w:tc>
          <w:tcPr>
            <w:tcW w:w="3393" w:type="dxa"/>
            <w:tcBorders/>
            <w:vAlign w:val="center"/>
          </w:tcPr>
          <w:p>
            <w:pPr>
              <w:pStyle w:val="TableContents"/>
              <w:widowControl w:val="false"/>
              <w:suppressLineNumbers/>
              <w:bidi w:val="0"/>
              <w:jc w:val="left"/>
              <w:rPr/>
            </w:pPr>
            <w:r>
              <w:rPr/>
              <w:t>5 / 15 / 49 USD mỗi tháng (≈99K / 299K / 990K VND)</w:t>
            </w:r>
          </w:p>
        </w:tc>
        <w:tc>
          <w:tcPr>
            <w:tcW w:w="4166" w:type="dxa"/>
            <w:tcBorders/>
            <w:vAlign w:val="center"/>
          </w:tcPr>
          <w:p>
            <w:pPr>
              <w:pStyle w:val="TableContents"/>
              <w:widowControl w:val="false"/>
              <w:suppressLineNumbers/>
              <w:bidi w:val="0"/>
              <w:jc w:val="left"/>
              <w:rPr/>
            </w:pPr>
            <w:r>
              <w:rPr/>
              <w:t>50% nền tảng · 30% quỹ nhà sáng tạo · 20% tăng trưởng/dự phòng</w:t>
            </w:r>
          </w:p>
        </w:tc>
      </w:tr>
      <w:tr>
        <w:trPr/>
        <w:tc>
          <w:tcPr>
            <w:tcW w:w="2646" w:type="dxa"/>
            <w:tcBorders/>
            <w:vAlign w:val="center"/>
          </w:tcPr>
          <w:p>
            <w:pPr>
              <w:pStyle w:val="TableContents"/>
              <w:widowControl w:val="false"/>
              <w:suppressLineNumbers/>
              <w:bidi w:val="0"/>
              <w:jc w:val="left"/>
              <w:rPr/>
            </w:pPr>
            <w:r>
              <w:rPr/>
              <w:t>Huấn luyện (Script Journey)</w:t>
            </w:r>
          </w:p>
        </w:tc>
        <w:tc>
          <w:tcPr>
            <w:tcW w:w="3393" w:type="dxa"/>
            <w:tcBorders/>
            <w:vAlign w:val="center"/>
          </w:tcPr>
          <w:p>
            <w:pPr>
              <w:pStyle w:val="TableContents"/>
              <w:widowControl w:val="false"/>
              <w:suppressLineNumbers/>
              <w:bidi w:val="0"/>
              <w:jc w:val="left"/>
              <w:rPr/>
            </w:pPr>
            <w:r>
              <w:rPr/>
              <w:t>99 – 25.000 USD mỗi gói</w:t>
            </w:r>
          </w:p>
        </w:tc>
        <w:tc>
          <w:tcPr>
            <w:tcW w:w="4166" w:type="dxa"/>
            <w:tcBorders/>
            <w:vAlign w:val="center"/>
          </w:tcPr>
          <w:p>
            <w:pPr>
              <w:pStyle w:val="TableContents"/>
              <w:widowControl w:val="false"/>
              <w:suppressLineNumbers/>
              <w:bidi w:val="0"/>
              <w:jc w:val="left"/>
              <w:rPr/>
            </w:pPr>
            <w:r>
              <w:rPr/>
              <w:t>Phí nền tảng + chia cho nhà sáng tạo</w:t>
            </w:r>
          </w:p>
        </w:tc>
      </w:tr>
      <w:tr>
        <w:trPr/>
        <w:tc>
          <w:tcPr>
            <w:tcW w:w="2646" w:type="dxa"/>
            <w:tcBorders/>
            <w:vAlign w:val="center"/>
          </w:tcPr>
          <w:p>
            <w:pPr>
              <w:pStyle w:val="TableContents"/>
              <w:widowControl w:val="false"/>
              <w:suppressLineNumbers/>
              <w:bidi w:val="0"/>
              <w:jc w:val="left"/>
              <w:rPr/>
            </w:pPr>
            <w:r>
              <w:rPr/>
              <w:t>Talk show / trải nghiệm cao cấp</w:t>
            </w:r>
          </w:p>
        </w:tc>
        <w:tc>
          <w:tcPr>
            <w:tcW w:w="3393" w:type="dxa"/>
            <w:tcBorders/>
            <w:vAlign w:val="center"/>
          </w:tcPr>
          <w:p>
            <w:pPr>
              <w:pStyle w:val="TableContents"/>
              <w:widowControl w:val="false"/>
              <w:suppressLineNumbers/>
              <w:bidi w:val="0"/>
              <w:jc w:val="left"/>
              <w:rPr/>
            </w:pPr>
            <w:r>
              <w:rPr/>
              <w:t>Theo sự kiện</w:t>
            </w:r>
          </w:p>
        </w:tc>
        <w:tc>
          <w:tcPr>
            <w:tcW w:w="4166" w:type="dxa"/>
            <w:tcBorders/>
            <w:vAlign w:val="center"/>
          </w:tcPr>
          <w:p>
            <w:pPr>
              <w:pStyle w:val="TableContents"/>
              <w:widowControl w:val="false"/>
              <w:suppressLineNumbers/>
              <w:bidi w:val="0"/>
              <w:jc w:val="left"/>
              <w:rPr/>
            </w:pPr>
            <w:r>
              <w:rPr/>
              <w:t>60/40 (talk show) · 70/30 (cao cấp) ưu tiên nhà sáng tạo</w:t>
            </w:r>
          </w:p>
        </w:tc>
      </w:tr>
      <w:tr>
        <w:trPr/>
        <w:tc>
          <w:tcPr>
            <w:tcW w:w="2646" w:type="dxa"/>
            <w:tcBorders/>
            <w:vAlign w:val="center"/>
          </w:tcPr>
          <w:p>
            <w:pPr>
              <w:pStyle w:val="TableContents"/>
              <w:widowControl w:val="false"/>
              <w:suppressLineNumbers/>
              <w:bidi w:val="0"/>
              <w:jc w:val="left"/>
              <w:rPr/>
            </w:pPr>
            <w:r>
              <w:rPr/>
              <w:t>Tài trợ thương mại</w:t>
            </w:r>
          </w:p>
        </w:tc>
        <w:tc>
          <w:tcPr>
            <w:tcW w:w="3393" w:type="dxa"/>
            <w:tcBorders/>
            <w:vAlign w:val="center"/>
          </w:tcPr>
          <w:p>
            <w:pPr>
              <w:pStyle w:val="TableContents"/>
              <w:widowControl w:val="false"/>
              <w:suppressLineNumbers/>
              <w:bidi w:val="0"/>
              <w:jc w:val="left"/>
              <w:rPr/>
            </w:pPr>
            <w:r>
              <w:rPr/>
              <w:t>10 – 10.000+ USD/tháng (theo bậc)</w:t>
            </w:r>
          </w:p>
        </w:tc>
        <w:tc>
          <w:tcPr>
            <w:tcW w:w="4166" w:type="dxa"/>
            <w:tcBorders/>
            <w:vAlign w:val="center"/>
          </w:tcPr>
          <w:p>
            <w:pPr>
              <w:pStyle w:val="TableContents"/>
              <w:widowControl w:val="false"/>
              <w:suppressLineNumbers/>
              <w:bidi w:val="0"/>
              <w:jc w:val="left"/>
              <w:rPr/>
            </w:pPr>
            <w:r>
              <w:rPr/>
              <w:t>100% nền tảng</w:t>
            </w:r>
          </w:p>
        </w:tc>
      </w:tr>
      <w:tr>
        <w:trPr/>
        <w:tc>
          <w:tcPr>
            <w:tcW w:w="2646" w:type="dxa"/>
            <w:tcBorders/>
            <w:vAlign w:val="center"/>
          </w:tcPr>
          <w:p>
            <w:pPr>
              <w:pStyle w:val="TableContents"/>
              <w:widowControl w:val="false"/>
              <w:suppressLineNumbers/>
              <w:bidi w:val="0"/>
              <w:jc w:val="left"/>
              <w:rPr/>
            </w:pPr>
            <w:r>
              <w:rPr/>
              <w:t>Điểm / sản phẩm số</w:t>
            </w:r>
          </w:p>
        </w:tc>
        <w:tc>
          <w:tcPr>
            <w:tcW w:w="3393" w:type="dxa"/>
            <w:tcBorders/>
            <w:vAlign w:val="center"/>
          </w:tcPr>
          <w:p>
            <w:pPr>
              <w:pStyle w:val="TableContents"/>
              <w:widowControl w:val="false"/>
              <w:suppressLineNumbers/>
              <w:bidi w:val="0"/>
              <w:jc w:val="left"/>
              <w:rPr/>
            </w:pPr>
            <w:r>
              <w:rPr/>
              <w:t>19 – 999 USD</w:t>
            </w:r>
          </w:p>
        </w:tc>
        <w:tc>
          <w:tcPr>
            <w:tcW w:w="4166" w:type="dxa"/>
            <w:tcBorders/>
            <w:vAlign w:val="center"/>
          </w:tcPr>
          <w:p>
            <w:pPr>
              <w:pStyle w:val="TableContents"/>
              <w:widowControl w:val="false"/>
              <w:suppressLineNumbers/>
              <w:bidi w:val="0"/>
              <w:jc w:val="left"/>
              <w:rPr/>
            </w:pPr>
            <w:r>
              <w:rPr/>
              <w:t>Khách hàng thân thiết &amp; biên lợi nhuận</w:t>
            </w:r>
          </w:p>
        </w:tc>
      </w:tr>
      <w:tr>
        <w:trPr/>
        <w:tc>
          <w:tcPr>
            <w:tcW w:w="2646" w:type="dxa"/>
            <w:tcBorders/>
            <w:vAlign w:val="center"/>
          </w:tcPr>
          <w:p>
            <w:pPr>
              <w:pStyle w:val="TableContents"/>
              <w:widowControl w:val="false"/>
              <w:suppressLineNumbers/>
              <w:bidi w:val="0"/>
              <w:jc w:val="left"/>
              <w:rPr/>
            </w:pPr>
            <w:r>
              <w:rPr/>
              <w:t>Đóng góp (Làn B, phi lợi nhuận)</w:t>
            </w:r>
          </w:p>
        </w:tc>
        <w:tc>
          <w:tcPr>
            <w:tcW w:w="3393" w:type="dxa"/>
            <w:tcBorders/>
            <w:vAlign w:val="center"/>
          </w:tcPr>
          <w:p>
            <w:pPr>
              <w:pStyle w:val="TableContents"/>
              <w:widowControl w:val="false"/>
              <w:suppressLineNumbers/>
              <w:bidi w:val="0"/>
              <w:jc w:val="left"/>
              <w:rPr/>
            </w:pPr>
            <w:r>
              <w:rPr/>
              <w:t>Tự nguyện</w:t>
            </w:r>
          </w:p>
        </w:tc>
        <w:tc>
          <w:tcPr>
            <w:tcW w:w="4166" w:type="dxa"/>
            <w:tcBorders/>
            <w:vAlign w:val="center"/>
          </w:tcPr>
          <w:p>
            <w:pPr>
              <w:pStyle w:val="TableContents"/>
              <w:widowControl w:val="false"/>
              <w:suppressLineNumbers/>
              <w:bidi w:val="0"/>
              <w:jc w:val="left"/>
              <w:rPr/>
            </w:pPr>
            <w:r>
              <w:rPr/>
              <w:t>100% cho làn phi lợi nhuận — không phải doanh thu nền tảng</w:t>
            </w:r>
          </w:p>
        </w:tc>
      </w:tr>
    </w:tbl>
    <w:p>
      <w:pPr>
        <w:pStyle w:val="Heading2sec"/>
        <w:bidi w:val="0"/>
        <w:jc w:val="left"/>
        <w:rPr/>
      </w:pPr>
      <w:r>
        <w:rPr/>
        <w:t>6. Hiện Trạng &amp; Lực Kéo (trung thực)</w:t>
      </w:r>
    </w:p>
    <w:p>
      <w:pPr>
        <w:pStyle w:val="BodyText"/>
        <w:numPr>
          <w:ilvl w:val="0"/>
          <w:numId w:val="2"/>
        </w:numPr>
        <w:tabs>
          <w:tab w:val="clear" w:pos="709"/>
          <w:tab w:val="left" w:pos="829" w:leader="none"/>
        </w:tabs>
        <w:bidi w:val="0"/>
        <w:spacing w:before="120" w:after="0"/>
        <w:ind w:hanging="283" w:left="829"/>
        <w:jc w:val="left"/>
        <w:rPr/>
      </w:pPr>
      <w:r>
        <w:rPr>
          <w:rStyle w:val="Strong"/>
        </w:rPr>
        <w:t>Đã có:</w:t>
      </w:r>
      <w:r>
        <w:rPr/>
        <w:t xml:space="preserve"> website công khai đã lên production; 35+ trang; nội dung &amp; SEO song ngữ; lược đồ CSDL (10+ migration); API lõi; tích hợp thanh toán ~80%. </w:t>
      </w:r>
    </w:p>
    <w:p>
      <w:pPr>
        <w:pStyle w:val="BodyText"/>
        <w:numPr>
          <w:ilvl w:val="0"/>
          <w:numId w:val="2"/>
        </w:numPr>
        <w:tabs>
          <w:tab w:val="clear" w:pos="709"/>
          <w:tab w:val="left" w:pos="829" w:leader="none"/>
        </w:tabs>
        <w:bidi w:val="0"/>
        <w:spacing w:before="120" w:after="0"/>
        <w:ind w:hanging="283" w:left="829"/>
        <w:jc w:val="left"/>
        <w:rPr/>
      </w:pPr>
      <w:r>
        <w:rPr>
          <w:rStyle w:val="Strong"/>
        </w:rPr>
        <w:t>Chưa có:</w:t>
      </w:r>
      <w:r>
        <w:rPr/>
        <w:t xml:space="preserve"> chưa có lực kéo đáng kể về người dùng, nhà tài trợ, người đóng góp hay doanh thu. Các lớp kiếm tiền chưa ra mắt. </w:t>
      </w:r>
    </w:p>
    <w:p>
      <w:pPr>
        <w:pStyle w:val="BodyText"/>
        <w:numPr>
          <w:ilvl w:val="0"/>
          <w:numId w:val="2"/>
        </w:numPr>
        <w:tabs>
          <w:tab w:val="clear" w:pos="709"/>
          <w:tab w:val="left" w:pos="829" w:leader="none"/>
        </w:tabs>
        <w:bidi w:val="0"/>
        <w:ind w:hanging="283" w:left="829"/>
        <w:jc w:val="left"/>
        <w:rPr/>
      </w:pPr>
      <w:r>
        <w:rPr>
          <w:rStyle w:val="Strong"/>
        </w:rPr>
        <w:t>Hệ quả:</w:t>
      </w:r>
      <w:r>
        <w:rPr/>
        <w:t xml:space="preserve"> đây là vòng tầm nhìn/thực thi sớm. Nhà đầu tư đặt cược vào đội ngũ, thị trường và lộ trình — không phải doanh thu lịch sử. </w:t>
      </w:r>
    </w:p>
    <w:p>
      <w:pPr>
        <w:pStyle w:val="Heading2sec"/>
        <w:bidi w:val="0"/>
        <w:jc w:val="left"/>
        <w:rPr/>
      </w:pPr>
      <w:r>
        <w:rPr/>
        <w:t>7. Quy Mô Thị Trường (TAM / SAM / SOM)</w:t>
      </w:r>
    </w:p>
    <w:tbl>
      <w:tblPr>
        <w:tblW w:w="10205" w:type="dxa"/>
        <w:jc w:val="left"/>
        <w:tblInd w:w="28" w:type="dxa"/>
        <w:tblLayout w:type="fixed"/>
        <w:tblCellMar>
          <w:top w:w="28" w:type="dxa"/>
          <w:left w:w="28" w:type="dxa"/>
          <w:bottom w:w="28" w:type="dxa"/>
          <w:right w:w="28" w:type="dxa"/>
        </w:tblCellMar>
      </w:tblPr>
      <w:tblGrid>
        <w:gridCol w:w="984"/>
        <w:gridCol w:w="2552"/>
        <w:gridCol w:w="3660"/>
        <w:gridCol w:w="3009"/>
      </w:tblGrid>
      <w:tr>
        <w:trPr/>
        <w:tc>
          <w:tcPr>
            <w:tcW w:w="984" w:type="dxa"/>
            <w:tcBorders/>
            <w:vAlign w:val="center"/>
          </w:tcPr>
          <w:p>
            <w:pPr>
              <w:pStyle w:val="TableHeading"/>
              <w:suppressLineNumbers/>
              <w:shd w:fill="F2F4F8" w:val="clear"/>
              <w:bidi w:val="0"/>
              <w:jc w:val="left"/>
              <w:rPr/>
            </w:pPr>
            <w:r>
              <w:rPr/>
              <w:t>Lớp</w:t>
            </w:r>
          </w:p>
        </w:tc>
        <w:tc>
          <w:tcPr>
            <w:tcW w:w="2552" w:type="dxa"/>
            <w:tcBorders/>
            <w:vAlign w:val="center"/>
          </w:tcPr>
          <w:p>
            <w:pPr>
              <w:pStyle w:val="TableHeading"/>
              <w:suppressLineNumbers/>
              <w:shd w:fill="F2F4F8" w:val="clear"/>
              <w:bidi w:val="0"/>
              <w:jc w:val="left"/>
              <w:rPr/>
            </w:pPr>
            <w:r>
              <w:rPr/>
              <w:t>Định nghĩa</w:t>
            </w:r>
          </w:p>
        </w:tc>
        <w:tc>
          <w:tcPr>
            <w:tcW w:w="3660" w:type="dxa"/>
            <w:tcBorders/>
            <w:vAlign w:val="center"/>
          </w:tcPr>
          <w:p>
            <w:pPr>
              <w:pStyle w:val="TableHeading"/>
              <w:suppressLineNumbers/>
              <w:shd w:fill="F2F4F8" w:val="clear"/>
              <w:bidi w:val="0"/>
              <w:jc w:val="left"/>
              <w:rPr/>
            </w:pPr>
            <w:r>
              <w:rPr/>
              <w:t>Ước tính</w:t>
            </w:r>
          </w:p>
        </w:tc>
        <w:tc>
          <w:tcPr>
            <w:tcW w:w="3009" w:type="dxa"/>
            <w:tcBorders/>
            <w:vAlign w:val="center"/>
          </w:tcPr>
          <w:p>
            <w:pPr>
              <w:pStyle w:val="TableHeading"/>
              <w:suppressLineNumbers/>
              <w:shd w:fill="F2F4F8" w:val="clear"/>
              <w:bidi w:val="0"/>
              <w:jc w:val="left"/>
              <w:rPr/>
            </w:pPr>
            <w:r>
              <w:rPr/>
              <w:t>Cơ sở (giả định)</w:t>
            </w:r>
          </w:p>
        </w:tc>
      </w:tr>
      <w:tr>
        <w:trPr/>
        <w:tc>
          <w:tcPr>
            <w:tcW w:w="984" w:type="dxa"/>
            <w:tcBorders/>
            <w:vAlign w:val="center"/>
          </w:tcPr>
          <w:p>
            <w:pPr>
              <w:pStyle w:val="TableContents"/>
              <w:widowControl w:val="false"/>
              <w:suppressLineNumbers/>
              <w:bidi w:val="0"/>
              <w:jc w:val="left"/>
              <w:rPr/>
            </w:pPr>
            <w:r>
              <w:rPr/>
              <w:t>TAM</w:t>
            </w:r>
          </w:p>
        </w:tc>
        <w:tc>
          <w:tcPr>
            <w:tcW w:w="2552" w:type="dxa"/>
            <w:tcBorders/>
            <w:vAlign w:val="center"/>
          </w:tcPr>
          <w:p>
            <w:pPr>
              <w:pStyle w:val="TableContents"/>
              <w:widowControl w:val="false"/>
              <w:suppressLineNumbers/>
              <w:bidi w:val="0"/>
              <w:jc w:val="left"/>
              <w:rPr/>
            </w:pPr>
            <w:r>
              <w:rPr/>
              <w:t>Cộng đồng &amp; nguồn giá trị tài năng người Việt toàn cầu</w:t>
            </w:r>
          </w:p>
        </w:tc>
        <w:tc>
          <w:tcPr>
            <w:tcW w:w="3660" w:type="dxa"/>
            <w:tcBorders/>
            <w:vAlign w:val="center"/>
          </w:tcPr>
          <w:p>
            <w:pPr>
              <w:pStyle w:val="TableContents"/>
              <w:widowControl w:val="false"/>
              <w:suppressLineNumbers/>
              <w:bidi w:val="0"/>
              <w:jc w:val="left"/>
              <w:rPr/>
            </w:pPr>
            <w:r>
              <w:rPr/>
              <w:t>10 tỷ USD+ lân cận (huấn luyện/đóng góp cộng đồng); 5,3 triệu người; ~18 tỷ USD/năm kiều hối</w:t>
            </w:r>
          </w:p>
        </w:tc>
        <w:tc>
          <w:tcPr>
            <w:tcW w:w="3009" w:type="dxa"/>
            <w:tcBorders/>
            <w:vAlign w:val="center"/>
          </w:tcPr>
          <w:p>
            <w:pPr>
              <w:pStyle w:val="TableContents"/>
              <w:widowControl w:val="false"/>
              <w:suppressLineNumbers/>
              <w:bidi w:val="0"/>
              <w:jc w:val="left"/>
              <w:rPr/>
            </w:pPr>
            <w:r>
              <w:rPr/>
              <w:t>Số liệu công khai về cộng đồng &amp; kiều hối; thị trường huấn luyện toàn cầu</w:t>
            </w:r>
          </w:p>
        </w:tc>
      </w:tr>
      <w:tr>
        <w:trPr/>
        <w:tc>
          <w:tcPr>
            <w:tcW w:w="984" w:type="dxa"/>
            <w:tcBorders/>
            <w:vAlign w:val="center"/>
          </w:tcPr>
          <w:p>
            <w:pPr>
              <w:pStyle w:val="TableContents"/>
              <w:widowControl w:val="false"/>
              <w:suppressLineNumbers/>
              <w:bidi w:val="0"/>
              <w:jc w:val="left"/>
              <w:rPr/>
            </w:pPr>
            <w:r>
              <w:rPr/>
              <w:t>SAM</w:t>
            </w:r>
          </w:p>
        </w:tc>
        <w:tc>
          <w:tcPr>
            <w:tcW w:w="2552" w:type="dxa"/>
            <w:tcBorders/>
            <w:vAlign w:val="center"/>
          </w:tcPr>
          <w:p>
            <w:pPr>
              <w:pStyle w:val="TableContents"/>
              <w:widowControl w:val="false"/>
              <w:suppressLineNumbers/>
              <w:bidi w:val="0"/>
              <w:jc w:val="left"/>
              <w:rPr/>
            </w:pPr>
            <w:r>
              <w:rPr/>
              <w:t>Cộng đồng số hóa sẵn sàng tài trợ/học + nhà sáng tạo VN</w:t>
            </w:r>
          </w:p>
        </w:tc>
        <w:tc>
          <w:tcPr>
            <w:tcW w:w="3660" w:type="dxa"/>
            <w:tcBorders/>
            <w:vAlign w:val="center"/>
          </w:tcPr>
          <w:p>
            <w:pPr>
              <w:pStyle w:val="TableContents"/>
              <w:widowControl w:val="false"/>
              <w:suppressLineNumbers/>
              <w:bidi w:val="0"/>
              <w:jc w:val="left"/>
              <w:rPr/>
            </w:pPr>
            <w:r>
              <w:rPr/>
              <w:t>300–600 triệu USD/năm</w:t>
            </w:r>
          </w:p>
        </w:tc>
        <w:tc>
          <w:tcPr>
            <w:tcW w:w="3009" w:type="dxa"/>
            <w:tcBorders/>
            <w:vAlign w:val="center"/>
          </w:tcPr>
          <w:p>
            <w:pPr>
              <w:pStyle w:val="TableContents"/>
              <w:widowControl w:val="false"/>
              <w:suppressLineNumbers/>
              <w:bidi w:val="0"/>
              <w:jc w:val="left"/>
              <w:rPr/>
            </w:pPr>
            <w:r>
              <w:rPr/>
              <w:t>Giả định 8–12% cộng đồng tiếp cận được qua số &amp; chi 50–150 USD/năm</w:t>
            </w:r>
          </w:p>
        </w:tc>
      </w:tr>
      <w:tr>
        <w:trPr/>
        <w:tc>
          <w:tcPr>
            <w:tcW w:w="984" w:type="dxa"/>
            <w:tcBorders/>
            <w:vAlign w:val="center"/>
          </w:tcPr>
          <w:p>
            <w:pPr>
              <w:pStyle w:val="TableContents"/>
              <w:widowControl w:val="false"/>
              <w:suppressLineNumbers/>
              <w:bidi w:val="0"/>
              <w:jc w:val="left"/>
              <w:rPr/>
            </w:pPr>
            <w:r>
              <w:rPr/>
              <w:t>SOM (3–5 năm)</w:t>
            </w:r>
          </w:p>
        </w:tc>
        <w:tc>
          <w:tcPr>
            <w:tcW w:w="2552" w:type="dxa"/>
            <w:tcBorders/>
            <w:vAlign w:val="center"/>
          </w:tcPr>
          <w:p>
            <w:pPr>
              <w:pStyle w:val="TableContents"/>
              <w:widowControl w:val="false"/>
              <w:suppressLineNumbers/>
              <w:bidi w:val="0"/>
              <w:jc w:val="left"/>
              <w:rPr/>
            </w:pPr>
            <w:r>
              <w:rPr/>
              <w:t>Mức nắm bắt thực tế ngắn hạn</w:t>
            </w:r>
          </w:p>
        </w:tc>
        <w:tc>
          <w:tcPr>
            <w:tcW w:w="3660" w:type="dxa"/>
            <w:tcBorders/>
            <w:vAlign w:val="center"/>
          </w:tcPr>
          <w:p>
            <w:pPr>
              <w:pStyle w:val="TableContents"/>
              <w:widowControl w:val="false"/>
              <w:suppressLineNumbers/>
              <w:bidi w:val="0"/>
              <w:jc w:val="left"/>
              <w:rPr/>
            </w:pPr>
            <w:r>
              <w:rPr/>
              <w:t>5–15 triệu USD/năm</w:t>
            </w:r>
          </w:p>
        </w:tc>
        <w:tc>
          <w:tcPr>
            <w:tcW w:w="3009" w:type="dxa"/>
            <w:tcBorders/>
            <w:vAlign w:val="center"/>
          </w:tcPr>
          <w:p>
            <w:pPr>
              <w:pStyle w:val="TableContents"/>
              <w:widowControl w:val="false"/>
              <w:suppressLineNumbers/>
              <w:bidi w:val="0"/>
              <w:jc w:val="left"/>
              <w:rPr/>
            </w:pPr>
            <w:r>
              <w:rPr/>
              <w:t>Vài phần trăm của SAM với CAC kỷ luật</w:t>
            </w:r>
          </w:p>
        </w:tc>
      </w:tr>
    </w:tbl>
    <w:p>
      <w:pPr>
        <w:pStyle w:val="BodyText"/>
        <w:bidi w:val="0"/>
        <w:jc w:val="left"/>
        <w:rPr/>
      </w:pPr>
      <w:r>
        <w:rPr/>
        <w:t>TAM/SAM/SOM là ước tính dựa trên số liệu cộng đồng/thị trường được trích dẫn công khai và giả định nắm bắt nêu trên; không phải cam kết.</w:t>
      </w:r>
    </w:p>
    <w:p>
      <w:pPr>
        <w:pStyle w:val="Heading2sec"/>
        <w:bidi w:val="0"/>
        <w:jc w:val="left"/>
        <w:rPr/>
      </w:pPr>
      <w:r>
        <w:rPr/>
        <w:t>8. Định Giá — hiện tại, 6 tháng, 1 năm, 2 năm</w:t>
      </w:r>
    </w:p>
    <w:tbl>
      <w:tblPr>
        <w:tblW w:w="10205" w:type="dxa"/>
        <w:jc w:val="left"/>
        <w:tblInd w:w="28" w:type="dxa"/>
        <w:tblLayout w:type="fixed"/>
        <w:tblCellMar>
          <w:top w:w="28" w:type="dxa"/>
          <w:left w:w="28" w:type="dxa"/>
          <w:bottom w:w="28" w:type="dxa"/>
          <w:right w:w="28" w:type="dxa"/>
        </w:tblCellMar>
      </w:tblPr>
      <w:tblGrid>
        <w:gridCol w:w="3294"/>
        <w:gridCol w:w="2413"/>
        <w:gridCol w:w="4498"/>
      </w:tblGrid>
      <w:tr>
        <w:trPr/>
        <w:tc>
          <w:tcPr>
            <w:tcW w:w="3294" w:type="dxa"/>
            <w:tcBorders/>
            <w:vAlign w:val="center"/>
          </w:tcPr>
          <w:p>
            <w:pPr>
              <w:pStyle w:val="TableHeading"/>
              <w:suppressLineNumbers/>
              <w:shd w:fill="F2F4F8" w:val="clear"/>
              <w:bidi w:val="0"/>
              <w:jc w:val="left"/>
              <w:rPr/>
            </w:pPr>
            <w:r>
              <w:rPr/>
              <w:t>Mốc</w:t>
            </w:r>
          </w:p>
        </w:tc>
        <w:tc>
          <w:tcPr>
            <w:tcW w:w="2413" w:type="dxa"/>
            <w:tcBorders/>
            <w:vAlign w:val="center"/>
          </w:tcPr>
          <w:p>
            <w:pPr>
              <w:pStyle w:val="TableHeading"/>
              <w:suppressLineNumbers/>
              <w:shd w:fill="F2F4F8" w:val="clear"/>
              <w:bidi w:val="0"/>
              <w:jc w:val="left"/>
              <w:rPr/>
            </w:pPr>
            <w:r>
              <w:rPr/>
              <w:t>Định giá tham chiếu (USD)</w:t>
            </w:r>
          </w:p>
        </w:tc>
        <w:tc>
          <w:tcPr>
            <w:tcW w:w="4498" w:type="dxa"/>
            <w:tcBorders/>
            <w:vAlign w:val="center"/>
          </w:tcPr>
          <w:p>
            <w:pPr>
              <w:pStyle w:val="TableHeading"/>
              <w:suppressLineNumbers/>
              <w:shd w:fill="F2F4F8" w:val="clear"/>
              <w:bidi w:val="0"/>
              <w:jc w:val="left"/>
              <w:rPr/>
            </w:pPr>
            <w:r>
              <w:rPr/>
              <w:t>Phương pháp</w:t>
            </w:r>
          </w:p>
        </w:tc>
      </w:tr>
      <w:tr>
        <w:trPr/>
        <w:tc>
          <w:tcPr>
            <w:tcW w:w="3294" w:type="dxa"/>
            <w:tcBorders/>
            <w:vAlign w:val="center"/>
          </w:tcPr>
          <w:p>
            <w:pPr>
              <w:pStyle w:val="TableContents"/>
              <w:widowControl w:val="false"/>
              <w:suppressLineNumbers/>
              <w:bidi w:val="0"/>
              <w:jc w:val="left"/>
              <w:rPr/>
            </w:pPr>
            <w:r>
              <w:rPr/>
              <w:t>Hiện tại (chưa doanh thu)</w:t>
            </w:r>
          </w:p>
        </w:tc>
        <w:tc>
          <w:tcPr>
            <w:tcW w:w="2413" w:type="dxa"/>
            <w:tcBorders/>
            <w:vAlign w:val="center"/>
          </w:tcPr>
          <w:p>
            <w:pPr>
              <w:pStyle w:val="TableContents"/>
              <w:widowControl w:val="false"/>
              <w:suppressLineNumbers/>
              <w:bidi w:val="0"/>
              <w:jc w:val="left"/>
              <w:rPr/>
            </w:pPr>
            <w:r>
              <w:rPr/>
              <w:t>50K – 150K</w:t>
            </w:r>
          </w:p>
        </w:tc>
        <w:tc>
          <w:tcPr>
            <w:tcW w:w="4498" w:type="dxa"/>
            <w:tcBorders/>
            <w:vAlign w:val="center"/>
          </w:tcPr>
          <w:p>
            <w:pPr>
              <w:pStyle w:val="TableContents"/>
              <w:widowControl w:val="false"/>
              <w:suppressLineNumbers/>
              <w:bidi w:val="0"/>
              <w:jc w:val="left"/>
              <w:rPr/>
            </w:pPr>
            <w:r>
              <w:rPr/>
              <w:t>Dựa trên tài sản/IP (mã nguồn, thương hiệu, tên miền)</w:t>
            </w:r>
          </w:p>
        </w:tc>
      </w:tr>
      <w:tr>
        <w:trPr/>
        <w:tc>
          <w:tcPr>
            <w:tcW w:w="3294" w:type="dxa"/>
            <w:tcBorders/>
            <w:vAlign w:val="center"/>
          </w:tcPr>
          <w:p>
            <w:pPr>
              <w:pStyle w:val="TableContents"/>
              <w:widowControl w:val="false"/>
              <w:suppressLineNumbers/>
              <w:bidi w:val="0"/>
              <w:jc w:val="left"/>
              <w:rPr/>
            </w:pPr>
            <w:r>
              <w:rPr/>
              <w:t>+6 tháng (sau pháp lý + đóng góp chạy)</w:t>
            </w:r>
          </w:p>
        </w:tc>
        <w:tc>
          <w:tcPr>
            <w:tcW w:w="2413" w:type="dxa"/>
            <w:tcBorders/>
            <w:vAlign w:val="center"/>
          </w:tcPr>
          <w:p>
            <w:pPr>
              <w:pStyle w:val="TableContents"/>
              <w:widowControl w:val="false"/>
              <w:suppressLineNumbers/>
              <w:bidi w:val="0"/>
              <w:jc w:val="left"/>
              <w:rPr/>
            </w:pPr>
            <w:r>
              <w:rPr/>
              <w:t>150K – 400K</w:t>
            </w:r>
          </w:p>
        </w:tc>
        <w:tc>
          <w:tcPr>
            <w:tcW w:w="4498" w:type="dxa"/>
            <w:tcBorders/>
            <w:vAlign w:val="center"/>
          </w:tcPr>
          <w:p>
            <w:pPr>
              <w:pStyle w:val="TableContents"/>
              <w:widowControl w:val="false"/>
              <w:suppressLineNumbers/>
              <w:bidi w:val="0"/>
              <w:jc w:val="left"/>
              <w:rPr/>
            </w:pPr>
            <w:r>
              <w:rPr/>
              <w:t>Tài sản + kích hoạt sớm</w:t>
            </w:r>
          </w:p>
        </w:tc>
      </w:tr>
      <w:tr>
        <w:trPr/>
        <w:tc>
          <w:tcPr>
            <w:tcW w:w="3294" w:type="dxa"/>
            <w:tcBorders/>
            <w:vAlign w:val="center"/>
          </w:tcPr>
          <w:p>
            <w:pPr>
              <w:pStyle w:val="TableContents"/>
              <w:widowControl w:val="false"/>
              <w:suppressLineNumbers/>
              <w:bidi w:val="0"/>
              <w:jc w:val="left"/>
              <w:rPr/>
            </w:pPr>
            <w:r>
              <w:rPr/>
              <w:t>+1 năm (Layer 1, nhà tài trợ đầu tiên)</w:t>
            </w:r>
          </w:p>
        </w:tc>
        <w:tc>
          <w:tcPr>
            <w:tcW w:w="2413" w:type="dxa"/>
            <w:tcBorders/>
            <w:vAlign w:val="center"/>
          </w:tcPr>
          <w:p>
            <w:pPr>
              <w:pStyle w:val="TableContents"/>
              <w:widowControl w:val="false"/>
              <w:suppressLineNumbers/>
              <w:bidi w:val="0"/>
              <w:jc w:val="left"/>
              <w:rPr/>
            </w:pPr>
            <w:r>
              <w:rPr/>
              <w:t>500K – 2,0M</w:t>
            </w:r>
          </w:p>
        </w:tc>
        <w:tc>
          <w:tcPr>
            <w:tcW w:w="4498" w:type="dxa"/>
            <w:tcBorders/>
            <w:vAlign w:val="center"/>
          </w:tcPr>
          <w:p>
            <w:pPr>
              <w:pStyle w:val="TableContents"/>
              <w:widowControl w:val="false"/>
              <w:suppressLineNumbers/>
              <w:bidi w:val="0"/>
              <w:jc w:val="left"/>
              <w:rPr/>
            </w:pPr>
            <w:r>
              <w:rPr/>
              <w:t>Bội số doanh thu tương lai (3–8×) trên lực kéo sớm</w:t>
            </w:r>
          </w:p>
        </w:tc>
      </w:tr>
      <w:tr>
        <w:trPr/>
        <w:tc>
          <w:tcPr>
            <w:tcW w:w="3294" w:type="dxa"/>
            <w:tcBorders/>
            <w:vAlign w:val="center"/>
          </w:tcPr>
          <w:p>
            <w:pPr>
              <w:pStyle w:val="TableContents"/>
              <w:widowControl w:val="false"/>
              <w:suppressLineNumbers/>
              <w:bidi w:val="0"/>
              <w:jc w:val="left"/>
              <w:rPr/>
            </w:pPr>
            <w:r>
              <w:rPr/>
              <w:t>+2 năm (Layer 1–2 mở rộng)</w:t>
            </w:r>
          </w:p>
        </w:tc>
        <w:tc>
          <w:tcPr>
            <w:tcW w:w="2413" w:type="dxa"/>
            <w:tcBorders/>
            <w:vAlign w:val="center"/>
          </w:tcPr>
          <w:p>
            <w:pPr>
              <w:pStyle w:val="TableContents"/>
              <w:widowControl w:val="false"/>
              <w:suppressLineNumbers/>
              <w:bidi w:val="0"/>
              <w:jc w:val="left"/>
              <w:rPr/>
            </w:pPr>
            <w:r>
              <w:rPr/>
              <w:t>2,0M – 5,0M</w:t>
            </w:r>
          </w:p>
        </w:tc>
        <w:tc>
          <w:tcPr>
            <w:tcW w:w="4498" w:type="dxa"/>
            <w:tcBorders/>
            <w:vAlign w:val="center"/>
          </w:tcPr>
          <w:p>
            <w:pPr>
              <w:pStyle w:val="TableContents"/>
              <w:widowControl w:val="false"/>
              <w:suppressLineNumbers/>
              <w:bidi w:val="0"/>
              <w:jc w:val="left"/>
              <w:rPr/>
            </w:pPr>
            <w:r>
              <w:rPr/>
              <w:t>Bội số doanh thu + vị thế thị trường</w:t>
            </w:r>
          </w:p>
        </w:tc>
      </w:tr>
    </w:tbl>
    <w:p>
      <w:pPr>
        <w:pStyle w:val="BodyText"/>
        <w:bidi w:val="0"/>
        <w:jc w:val="left"/>
        <w:rPr/>
      </w:pPr>
      <w:r>
        <w:rPr>
          <w:rStyle w:val="Strong"/>
        </w:rPr>
        <w:t>Đối chiếu mức gọi vốn với định giá.</w:t>
      </w:r>
      <w:r>
        <w:rPr/>
        <w:t xml:space="preserve"> Khoản gọi 2–3 triệu USD hàm ý giá trị doanh nghiệp sau đầu tư cao hơn nhiều giá trị tài sản hiện tại. Do đó chúng tôi đề xuất </w:t>
      </w:r>
      <w:r>
        <w:rPr>
          <w:rStyle w:val="Strong"/>
        </w:rPr>
        <w:t>hoặc</w:t>
      </w:r>
      <w:r>
        <w:rPr/>
        <w:t xml:space="preserve"> (a) </w:t>
      </w:r>
      <w:r>
        <w:rPr>
          <w:rStyle w:val="Strong"/>
        </w:rPr>
        <w:t>vòng Series A có định giá</w:t>
      </w:r>
      <w:r>
        <w:rPr/>
        <w:t xml:space="preserve"> với pre-money đàm phán khoảng </w:t>
      </w:r>
      <w:r>
        <w:rPr>
          <w:rStyle w:val="Strong"/>
        </w:rPr>
        <w:t>8–12 triệu USD</w:t>
      </w:r>
      <w:r>
        <w:rPr/>
        <w:t xml:space="preserve"> dựa trên quỹ đạo 24–36 tháng và vị thế chiến lược trong cộng đồng, </w:t>
      </w:r>
      <w:r>
        <w:rPr>
          <w:rStyle w:val="Strong"/>
        </w:rPr>
        <w:t>hoặc</w:t>
      </w:r>
      <w:r>
        <w:rPr/>
        <w:t xml:space="preserve"> (b) </w:t>
      </w:r>
      <w:r>
        <w:rPr>
          <w:rStyle w:val="Strong"/>
        </w:rPr>
        <w:t>công cụ chuyển đổi/SAFE có trần</w:t>
      </w:r>
      <w:r>
        <w:rPr/>
        <w:t xml:space="preserve"> (trần minh hoạ 10–12 triệu USD, chiết khấu 20%) để hoãn việc định giá chính xác đến vòng có giá sau. Vốn giải ngân theo từng đợt mốc. Điều khoản cuối cùng tùy đàm phán và tư vấn chứng khoán.</w:t>
      </w:r>
    </w:p>
    <w:p>
      <w:pPr>
        <w:pStyle w:val="Heading2sec"/>
        <w:bidi w:val="0"/>
        <w:jc w:val="left"/>
        <w:rPr/>
      </w:pPr>
      <w:r>
        <w:rPr/>
        <w:t>9. Dự Phóng Tài Chính (2026–2028)</w:t>
      </w:r>
    </w:p>
    <w:p>
      <w:pPr>
        <w:pStyle w:val="BodyText"/>
        <w:bidi w:val="0"/>
        <w:jc w:val="left"/>
        <w:rPr/>
      </w:pPr>
      <w:r>
        <w:rPr/>
        <w:t>Ba kịch bản. "2 năm" = lũy kế 2026–2027. USD là chính.</w:t>
      </w:r>
    </w:p>
    <w:p>
      <w:pPr>
        <w:pStyle w:val="Heading4"/>
        <w:bidi w:val="0"/>
        <w:jc w:val="left"/>
        <w:rPr/>
      </w:pPr>
      <w:r>
        <w:rPr/>
        <w:t>Thận trọng</w:t>
      </w:r>
    </w:p>
    <w:tbl>
      <w:tblPr>
        <w:tblW w:w="5648" w:type="dxa"/>
        <w:jc w:val="left"/>
        <w:tblInd w:w="28" w:type="dxa"/>
        <w:tblLayout w:type="fixed"/>
        <w:tblCellMar>
          <w:top w:w="28" w:type="dxa"/>
          <w:left w:w="28" w:type="dxa"/>
          <w:bottom w:w="28" w:type="dxa"/>
          <w:right w:w="28" w:type="dxa"/>
        </w:tblCellMar>
      </w:tblPr>
      <w:tblGrid>
        <w:gridCol w:w="2525"/>
        <w:gridCol w:w="1216"/>
        <w:gridCol w:w="919"/>
        <w:gridCol w:w="988"/>
      </w:tblGrid>
      <w:tr>
        <w:trPr/>
        <w:tc>
          <w:tcPr>
            <w:tcW w:w="2525" w:type="dxa"/>
            <w:tcBorders/>
            <w:vAlign w:val="center"/>
          </w:tcPr>
          <w:p>
            <w:pPr>
              <w:pStyle w:val="TableHeading"/>
              <w:bidi w:val="0"/>
              <w:ind w:hanging="0" w:left="0" w:right="0"/>
              <w:jc w:val="left"/>
              <w:rPr/>
            </w:pPr>
            <w:r>
              <w:rPr/>
              <w:t>Mốc</w:t>
            </w:r>
          </w:p>
        </w:tc>
        <w:tc>
          <w:tcPr>
            <w:tcW w:w="1216" w:type="dxa"/>
            <w:tcBorders/>
            <w:vAlign w:val="center"/>
          </w:tcPr>
          <w:p>
            <w:pPr>
              <w:pStyle w:val="TableHeading"/>
              <w:bidi w:val="0"/>
              <w:ind w:hanging="0" w:left="0" w:right="0"/>
              <w:jc w:val="right"/>
              <w:rPr/>
            </w:pPr>
            <w:r>
              <w:rPr/>
              <w:t>Doanh thu</w:t>
            </w:r>
          </w:p>
        </w:tc>
        <w:tc>
          <w:tcPr>
            <w:tcW w:w="919" w:type="dxa"/>
            <w:tcBorders/>
            <w:vAlign w:val="center"/>
          </w:tcPr>
          <w:p>
            <w:pPr>
              <w:pStyle w:val="TableHeading"/>
              <w:bidi w:val="0"/>
              <w:ind w:hanging="0" w:left="0" w:right="0"/>
              <w:jc w:val="right"/>
              <w:rPr/>
            </w:pPr>
            <w:r>
              <w:rPr/>
              <w:t>Chi phí</w:t>
            </w:r>
          </w:p>
        </w:tc>
        <w:tc>
          <w:tcPr>
            <w:tcW w:w="988" w:type="dxa"/>
            <w:tcBorders/>
            <w:vAlign w:val="center"/>
          </w:tcPr>
          <w:p>
            <w:pPr>
              <w:pStyle w:val="TableHeading"/>
              <w:bidi w:val="0"/>
              <w:jc w:val="right"/>
              <w:rPr/>
            </w:pPr>
            <w:r>
              <w:rPr/>
              <w:t>Ròng</w:t>
            </w:r>
          </w:p>
        </w:tc>
      </w:tr>
      <w:tr>
        <w:trPr/>
        <w:tc>
          <w:tcPr>
            <w:tcW w:w="2525" w:type="dxa"/>
            <w:tcBorders/>
            <w:vAlign w:val="center"/>
          </w:tcPr>
          <w:p>
            <w:pPr>
              <w:pStyle w:val="TableContents"/>
              <w:bidi w:val="0"/>
              <w:ind w:hanging="0" w:left="0" w:right="0"/>
              <w:jc w:val="left"/>
              <w:rPr/>
            </w:pPr>
            <w:r>
              <w:rPr/>
              <w:t>6 tháng (nửa cuối 2026)</w:t>
            </w:r>
          </w:p>
        </w:tc>
        <w:tc>
          <w:tcPr>
            <w:tcW w:w="1216" w:type="dxa"/>
            <w:tcBorders/>
            <w:vAlign w:val="center"/>
          </w:tcPr>
          <w:p>
            <w:pPr>
              <w:pStyle w:val="TableContents"/>
              <w:bidi w:val="0"/>
              <w:ind w:hanging="0" w:left="0" w:right="0"/>
              <w:jc w:val="right"/>
              <w:rPr/>
            </w:pPr>
            <w:r>
              <w:rPr/>
              <w:t>5.000</w:t>
            </w:r>
          </w:p>
        </w:tc>
        <w:tc>
          <w:tcPr>
            <w:tcW w:w="919" w:type="dxa"/>
            <w:tcBorders/>
            <w:vAlign w:val="center"/>
          </w:tcPr>
          <w:p>
            <w:pPr>
              <w:pStyle w:val="TableContents"/>
              <w:bidi w:val="0"/>
              <w:ind w:hanging="0" w:left="0" w:right="0"/>
              <w:jc w:val="right"/>
              <w:rPr/>
            </w:pPr>
            <w:r>
              <w:rPr/>
              <w:t>50.000</w:t>
            </w:r>
          </w:p>
        </w:tc>
        <w:tc>
          <w:tcPr>
            <w:tcW w:w="988" w:type="dxa"/>
            <w:tcBorders/>
            <w:vAlign w:val="center"/>
          </w:tcPr>
          <w:p>
            <w:pPr>
              <w:pStyle w:val="TableContents"/>
              <w:bidi w:val="0"/>
              <w:jc w:val="right"/>
              <w:rPr/>
            </w:pPr>
            <w:r>
              <w:rPr/>
              <w:t>(45.000)</w:t>
            </w:r>
          </w:p>
        </w:tc>
      </w:tr>
      <w:tr>
        <w:trPr/>
        <w:tc>
          <w:tcPr>
            <w:tcW w:w="2525" w:type="dxa"/>
            <w:tcBorders/>
            <w:vAlign w:val="center"/>
          </w:tcPr>
          <w:p>
            <w:pPr>
              <w:pStyle w:val="TableContents"/>
              <w:bidi w:val="0"/>
              <w:ind w:hanging="0" w:left="0" w:right="0"/>
              <w:jc w:val="left"/>
              <w:rPr/>
            </w:pPr>
            <w:r>
              <w:rPr/>
              <w:t>1 năm (2026)</w:t>
            </w:r>
          </w:p>
        </w:tc>
        <w:tc>
          <w:tcPr>
            <w:tcW w:w="1216" w:type="dxa"/>
            <w:tcBorders/>
            <w:vAlign w:val="center"/>
          </w:tcPr>
          <w:p>
            <w:pPr>
              <w:pStyle w:val="TableContents"/>
              <w:bidi w:val="0"/>
              <w:ind w:hanging="0" w:left="0" w:right="0"/>
              <w:jc w:val="right"/>
              <w:rPr/>
            </w:pPr>
            <w:r>
              <w:rPr/>
              <w:t>35.000</w:t>
            </w:r>
          </w:p>
        </w:tc>
        <w:tc>
          <w:tcPr>
            <w:tcW w:w="919" w:type="dxa"/>
            <w:tcBorders/>
            <w:vAlign w:val="center"/>
          </w:tcPr>
          <w:p>
            <w:pPr>
              <w:pStyle w:val="TableContents"/>
              <w:bidi w:val="0"/>
              <w:ind w:hanging="0" w:left="0" w:right="0"/>
              <w:jc w:val="right"/>
              <w:rPr/>
            </w:pPr>
            <w:r>
              <w:rPr/>
              <w:t>80.000</w:t>
            </w:r>
          </w:p>
        </w:tc>
        <w:tc>
          <w:tcPr>
            <w:tcW w:w="988" w:type="dxa"/>
            <w:tcBorders/>
            <w:vAlign w:val="center"/>
          </w:tcPr>
          <w:p>
            <w:pPr>
              <w:pStyle w:val="TableContents"/>
              <w:bidi w:val="0"/>
              <w:jc w:val="right"/>
              <w:rPr/>
            </w:pPr>
            <w:r>
              <w:rPr/>
              <w:t>(45.000)</w:t>
            </w:r>
          </w:p>
        </w:tc>
      </w:tr>
      <w:tr>
        <w:trPr/>
        <w:tc>
          <w:tcPr>
            <w:tcW w:w="2525" w:type="dxa"/>
            <w:tcBorders/>
            <w:vAlign w:val="center"/>
          </w:tcPr>
          <w:p>
            <w:pPr>
              <w:pStyle w:val="TableContents"/>
              <w:bidi w:val="0"/>
              <w:ind w:hanging="0" w:left="0" w:right="0"/>
              <w:jc w:val="left"/>
              <w:rPr/>
            </w:pPr>
            <w:r>
              <w:rPr/>
              <w:t>2 năm (2026–27)</w:t>
            </w:r>
          </w:p>
        </w:tc>
        <w:tc>
          <w:tcPr>
            <w:tcW w:w="1216" w:type="dxa"/>
            <w:tcBorders/>
            <w:vAlign w:val="center"/>
          </w:tcPr>
          <w:p>
            <w:pPr>
              <w:pStyle w:val="TableContents"/>
              <w:bidi w:val="0"/>
              <w:ind w:hanging="0" w:left="0" w:right="0"/>
              <w:jc w:val="right"/>
              <w:rPr/>
            </w:pPr>
            <w:r>
              <w:rPr/>
              <w:t>160.000</w:t>
            </w:r>
          </w:p>
        </w:tc>
        <w:tc>
          <w:tcPr>
            <w:tcW w:w="919" w:type="dxa"/>
            <w:tcBorders/>
            <w:vAlign w:val="center"/>
          </w:tcPr>
          <w:p>
            <w:pPr>
              <w:pStyle w:val="TableContents"/>
              <w:bidi w:val="0"/>
              <w:ind w:hanging="0" w:left="0" w:right="0"/>
              <w:jc w:val="right"/>
              <w:rPr/>
            </w:pPr>
            <w:r>
              <w:rPr/>
              <w:t>150.000</w:t>
            </w:r>
          </w:p>
        </w:tc>
        <w:tc>
          <w:tcPr>
            <w:tcW w:w="988" w:type="dxa"/>
            <w:tcBorders/>
            <w:vAlign w:val="center"/>
          </w:tcPr>
          <w:p>
            <w:pPr>
              <w:pStyle w:val="TableContents"/>
              <w:bidi w:val="0"/>
              <w:jc w:val="right"/>
              <w:rPr/>
            </w:pPr>
            <w:r>
              <w:rPr/>
              <w:t>10.000</w:t>
            </w:r>
          </w:p>
        </w:tc>
      </w:tr>
    </w:tbl>
    <w:p>
      <w:pPr>
        <w:pStyle w:val="Heading4"/>
        <w:bidi w:val="0"/>
        <w:jc w:val="left"/>
        <w:rPr/>
      </w:pPr>
      <w:r>
        <w:rPr/>
        <w:t>Cơ sở (kịch bản chính)</w:t>
      </w:r>
    </w:p>
    <w:tbl>
      <w:tblPr>
        <w:tblW w:w="5648" w:type="dxa"/>
        <w:jc w:val="left"/>
        <w:tblInd w:w="28" w:type="dxa"/>
        <w:tblLayout w:type="fixed"/>
        <w:tblCellMar>
          <w:top w:w="28" w:type="dxa"/>
          <w:left w:w="28" w:type="dxa"/>
          <w:bottom w:w="28" w:type="dxa"/>
          <w:right w:w="28" w:type="dxa"/>
        </w:tblCellMar>
      </w:tblPr>
      <w:tblGrid>
        <w:gridCol w:w="2525"/>
        <w:gridCol w:w="1216"/>
        <w:gridCol w:w="919"/>
        <w:gridCol w:w="988"/>
      </w:tblGrid>
      <w:tr>
        <w:trPr/>
        <w:tc>
          <w:tcPr>
            <w:tcW w:w="2525" w:type="dxa"/>
            <w:tcBorders/>
            <w:vAlign w:val="center"/>
          </w:tcPr>
          <w:p>
            <w:pPr>
              <w:pStyle w:val="TableHeading"/>
              <w:bidi w:val="0"/>
              <w:ind w:hanging="0" w:left="0" w:right="0"/>
              <w:jc w:val="left"/>
              <w:rPr/>
            </w:pPr>
            <w:r>
              <w:rPr/>
              <w:t>Mốc</w:t>
            </w:r>
          </w:p>
        </w:tc>
        <w:tc>
          <w:tcPr>
            <w:tcW w:w="1216" w:type="dxa"/>
            <w:tcBorders/>
            <w:vAlign w:val="center"/>
          </w:tcPr>
          <w:p>
            <w:pPr>
              <w:pStyle w:val="TableHeading"/>
              <w:bidi w:val="0"/>
              <w:ind w:hanging="0" w:left="0" w:right="0"/>
              <w:jc w:val="right"/>
              <w:rPr/>
            </w:pPr>
            <w:r>
              <w:rPr/>
              <w:t>Doanh thu</w:t>
            </w:r>
          </w:p>
        </w:tc>
        <w:tc>
          <w:tcPr>
            <w:tcW w:w="919" w:type="dxa"/>
            <w:tcBorders/>
            <w:vAlign w:val="center"/>
          </w:tcPr>
          <w:p>
            <w:pPr>
              <w:pStyle w:val="TableHeading"/>
              <w:bidi w:val="0"/>
              <w:ind w:hanging="0" w:left="0" w:right="0"/>
              <w:jc w:val="right"/>
              <w:rPr/>
            </w:pPr>
            <w:r>
              <w:rPr/>
              <w:t>Chi phí</w:t>
            </w:r>
          </w:p>
        </w:tc>
        <w:tc>
          <w:tcPr>
            <w:tcW w:w="988" w:type="dxa"/>
            <w:tcBorders/>
            <w:vAlign w:val="center"/>
          </w:tcPr>
          <w:p>
            <w:pPr>
              <w:pStyle w:val="TableHeading"/>
              <w:bidi w:val="0"/>
              <w:jc w:val="right"/>
              <w:rPr/>
            </w:pPr>
            <w:r>
              <w:rPr/>
              <w:t>Ròng</w:t>
            </w:r>
          </w:p>
        </w:tc>
      </w:tr>
      <w:tr>
        <w:trPr/>
        <w:tc>
          <w:tcPr>
            <w:tcW w:w="2525" w:type="dxa"/>
            <w:tcBorders/>
            <w:vAlign w:val="center"/>
          </w:tcPr>
          <w:p>
            <w:pPr>
              <w:pStyle w:val="TableContents"/>
              <w:bidi w:val="0"/>
              <w:ind w:hanging="0" w:left="0" w:right="0"/>
              <w:jc w:val="left"/>
              <w:rPr/>
            </w:pPr>
            <w:r>
              <w:rPr/>
              <w:t>6 tháng (nửa cuối 2026)</w:t>
            </w:r>
          </w:p>
        </w:tc>
        <w:tc>
          <w:tcPr>
            <w:tcW w:w="1216" w:type="dxa"/>
            <w:tcBorders/>
            <w:vAlign w:val="center"/>
          </w:tcPr>
          <w:p>
            <w:pPr>
              <w:pStyle w:val="TableContents"/>
              <w:bidi w:val="0"/>
              <w:ind w:hanging="0" w:left="0" w:right="0"/>
              <w:jc w:val="right"/>
              <w:rPr/>
            </w:pPr>
            <w:r>
              <w:rPr/>
              <w:t>20.000</w:t>
            </w:r>
          </w:p>
        </w:tc>
        <w:tc>
          <w:tcPr>
            <w:tcW w:w="919" w:type="dxa"/>
            <w:tcBorders/>
            <w:vAlign w:val="center"/>
          </w:tcPr>
          <w:p>
            <w:pPr>
              <w:pStyle w:val="TableContents"/>
              <w:bidi w:val="0"/>
              <w:ind w:hanging="0" w:left="0" w:right="0"/>
              <w:jc w:val="right"/>
              <w:rPr/>
            </w:pPr>
            <w:r>
              <w:rPr/>
              <w:t>35.000</w:t>
            </w:r>
          </w:p>
        </w:tc>
        <w:tc>
          <w:tcPr>
            <w:tcW w:w="988" w:type="dxa"/>
            <w:tcBorders/>
            <w:vAlign w:val="center"/>
          </w:tcPr>
          <w:p>
            <w:pPr>
              <w:pStyle w:val="TableContents"/>
              <w:bidi w:val="0"/>
              <w:jc w:val="right"/>
              <w:rPr/>
            </w:pPr>
            <w:r>
              <w:rPr/>
              <w:t>(15.000)</w:t>
            </w:r>
          </w:p>
        </w:tc>
      </w:tr>
      <w:tr>
        <w:trPr/>
        <w:tc>
          <w:tcPr>
            <w:tcW w:w="2525" w:type="dxa"/>
            <w:tcBorders/>
            <w:vAlign w:val="center"/>
          </w:tcPr>
          <w:p>
            <w:pPr>
              <w:pStyle w:val="TableContents"/>
              <w:bidi w:val="0"/>
              <w:ind w:hanging="0" w:left="0" w:right="0"/>
              <w:jc w:val="left"/>
              <w:rPr/>
            </w:pPr>
            <w:r>
              <w:rPr/>
              <w:t>1 năm (2026)</w:t>
            </w:r>
          </w:p>
        </w:tc>
        <w:tc>
          <w:tcPr>
            <w:tcW w:w="1216" w:type="dxa"/>
            <w:tcBorders/>
            <w:vAlign w:val="center"/>
          </w:tcPr>
          <w:p>
            <w:pPr>
              <w:pStyle w:val="TableContents"/>
              <w:bidi w:val="0"/>
              <w:ind w:hanging="0" w:left="0" w:right="0"/>
              <w:jc w:val="right"/>
              <w:rPr/>
            </w:pPr>
            <w:r>
              <w:rPr/>
              <w:t>110.000</w:t>
            </w:r>
          </w:p>
        </w:tc>
        <w:tc>
          <w:tcPr>
            <w:tcW w:w="919" w:type="dxa"/>
            <w:tcBorders/>
            <w:vAlign w:val="center"/>
          </w:tcPr>
          <w:p>
            <w:pPr>
              <w:pStyle w:val="TableContents"/>
              <w:bidi w:val="0"/>
              <w:ind w:hanging="0" w:left="0" w:right="0"/>
              <w:jc w:val="right"/>
              <w:rPr/>
            </w:pPr>
            <w:r>
              <w:rPr/>
              <w:t>60.000</w:t>
            </w:r>
          </w:p>
        </w:tc>
        <w:tc>
          <w:tcPr>
            <w:tcW w:w="988" w:type="dxa"/>
            <w:tcBorders/>
            <w:vAlign w:val="center"/>
          </w:tcPr>
          <w:p>
            <w:pPr>
              <w:pStyle w:val="TableContents"/>
              <w:bidi w:val="0"/>
              <w:jc w:val="right"/>
              <w:rPr/>
            </w:pPr>
            <w:r>
              <w:rPr/>
              <w:t>50.000</w:t>
            </w:r>
          </w:p>
        </w:tc>
      </w:tr>
      <w:tr>
        <w:trPr/>
        <w:tc>
          <w:tcPr>
            <w:tcW w:w="2525" w:type="dxa"/>
            <w:tcBorders/>
            <w:vAlign w:val="center"/>
          </w:tcPr>
          <w:p>
            <w:pPr>
              <w:pStyle w:val="TableContents"/>
              <w:bidi w:val="0"/>
              <w:ind w:hanging="0" w:left="0" w:right="0"/>
              <w:jc w:val="left"/>
              <w:rPr/>
            </w:pPr>
            <w:r>
              <w:rPr/>
              <w:t>2 năm (2026–27)</w:t>
            </w:r>
          </w:p>
        </w:tc>
        <w:tc>
          <w:tcPr>
            <w:tcW w:w="1216" w:type="dxa"/>
            <w:tcBorders/>
            <w:vAlign w:val="center"/>
          </w:tcPr>
          <w:p>
            <w:pPr>
              <w:pStyle w:val="TableContents"/>
              <w:bidi w:val="0"/>
              <w:ind w:hanging="0" w:left="0" w:right="0"/>
              <w:jc w:val="right"/>
              <w:rPr/>
            </w:pPr>
            <w:r>
              <w:rPr/>
              <w:t>540.000</w:t>
            </w:r>
          </w:p>
        </w:tc>
        <w:tc>
          <w:tcPr>
            <w:tcW w:w="919" w:type="dxa"/>
            <w:tcBorders/>
            <w:vAlign w:val="center"/>
          </w:tcPr>
          <w:p>
            <w:pPr>
              <w:pStyle w:val="TableContents"/>
              <w:bidi w:val="0"/>
              <w:ind w:hanging="0" w:left="0" w:right="0"/>
              <w:jc w:val="right"/>
              <w:rPr/>
            </w:pPr>
            <w:r>
              <w:rPr/>
              <w:t>120.000</w:t>
            </w:r>
          </w:p>
        </w:tc>
        <w:tc>
          <w:tcPr>
            <w:tcW w:w="988" w:type="dxa"/>
            <w:tcBorders/>
            <w:vAlign w:val="center"/>
          </w:tcPr>
          <w:p>
            <w:pPr>
              <w:pStyle w:val="TableContents"/>
              <w:bidi w:val="0"/>
              <w:jc w:val="right"/>
              <w:rPr/>
            </w:pPr>
            <w:r>
              <w:rPr/>
              <w:t>420.000</w:t>
            </w:r>
          </w:p>
        </w:tc>
      </w:tr>
    </w:tbl>
    <w:p>
      <w:pPr>
        <w:pStyle w:val="Heading4"/>
        <w:bidi w:val="0"/>
        <w:jc w:val="left"/>
        <w:rPr/>
      </w:pPr>
      <w:r>
        <w:rPr/>
        <w:t>Lạc quan</w:t>
      </w:r>
    </w:p>
    <w:tbl>
      <w:tblPr>
        <w:tblW w:w="5811" w:type="dxa"/>
        <w:jc w:val="left"/>
        <w:tblInd w:w="28" w:type="dxa"/>
        <w:tblLayout w:type="fixed"/>
        <w:tblCellMar>
          <w:top w:w="28" w:type="dxa"/>
          <w:left w:w="28" w:type="dxa"/>
          <w:bottom w:w="28" w:type="dxa"/>
          <w:right w:w="28" w:type="dxa"/>
        </w:tblCellMar>
      </w:tblPr>
      <w:tblGrid>
        <w:gridCol w:w="2525"/>
        <w:gridCol w:w="1216"/>
        <w:gridCol w:w="919"/>
        <w:gridCol w:w="1151"/>
      </w:tblGrid>
      <w:tr>
        <w:trPr/>
        <w:tc>
          <w:tcPr>
            <w:tcW w:w="2525" w:type="dxa"/>
            <w:tcBorders/>
            <w:vAlign w:val="center"/>
          </w:tcPr>
          <w:p>
            <w:pPr>
              <w:pStyle w:val="TableHeading"/>
              <w:bidi w:val="0"/>
              <w:ind w:hanging="0" w:left="0" w:right="0"/>
              <w:jc w:val="left"/>
              <w:rPr/>
            </w:pPr>
            <w:r>
              <w:rPr/>
              <w:t>Mốc</w:t>
            </w:r>
          </w:p>
        </w:tc>
        <w:tc>
          <w:tcPr>
            <w:tcW w:w="1216" w:type="dxa"/>
            <w:tcBorders/>
            <w:vAlign w:val="center"/>
          </w:tcPr>
          <w:p>
            <w:pPr>
              <w:pStyle w:val="TableHeading"/>
              <w:bidi w:val="0"/>
              <w:ind w:hanging="0" w:left="0" w:right="0"/>
              <w:jc w:val="right"/>
              <w:rPr/>
            </w:pPr>
            <w:r>
              <w:rPr/>
              <w:t>Doanh thu</w:t>
            </w:r>
          </w:p>
        </w:tc>
        <w:tc>
          <w:tcPr>
            <w:tcW w:w="919" w:type="dxa"/>
            <w:tcBorders/>
            <w:vAlign w:val="center"/>
          </w:tcPr>
          <w:p>
            <w:pPr>
              <w:pStyle w:val="TableHeading"/>
              <w:bidi w:val="0"/>
              <w:ind w:hanging="0" w:left="0" w:right="0"/>
              <w:jc w:val="right"/>
              <w:rPr/>
            </w:pPr>
            <w:r>
              <w:rPr/>
              <w:t>Chi phí</w:t>
            </w:r>
          </w:p>
        </w:tc>
        <w:tc>
          <w:tcPr>
            <w:tcW w:w="1151" w:type="dxa"/>
            <w:tcBorders/>
            <w:vAlign w:val="center"/>
          </w:tcPr>
          <w:p>
            <w:pPr>
              <w:pStyle w:val="TableHeading"/>
              <w:bidi w:val="0"/>
              <w:jc w:val="right"/>
              <w:rPr/>
            </w:pPr>
            <w:r>
              <w:rPr/>
              <w:t>Ròng</w:t>
            </w:r>
          </w:p>
        </w:tc>
      </w:tr>
      <w:tr>
        <w:trPr/>
        <w:tc>
          <w:tcPr>
            <w:tcW w:w="2525" w:type="dxa"/>
            <w:tcBorders/>
            <w:vAlign w:val="center"/>
          </w:tcPr>
          <w:p>
            <w:pPr>
              <w:pStyle w:val="TableContents"/>
              <w:bidi w:val="0"/>
              <w:ind w:hanging="0" w:left="0" w:right="0"/>
              <w:jc w:val="left"/>
              <w:rPr/>
            </w:pPr>
            <w:r>
              <w:rPr/>
              <w:t>6 tháng (nửa cuối 2026)</w:t>
            </w:r>
          </w:p>
        </w:tc>
        <w:tc>
          <w:tcPr>
            <w:tcW w:w="1216" w:type="dxa"/>
            <w:tcBorders/>
            <w:vAlign w:val="center"/>
          </w:tcPr>
          <w:p>
            <w:pPr>
              <w:pStyle w:val="TableContents"/>
              <w:bidi w:val="0"/>
              <w:ind w:hanging="0" w:left="0" w:right="0"/>
              <w:jc w:val="right"/>
              <w:rPr/>
            </w:pPr>
            <w:r>
              <w:rPr/>
              <w:t>45.000</w:t>
            </w:r>
          </w:p>
        </w:tc>
        <w:tc>
          <w:tcPr>
            <w:tcW w:w="919" w:type="dxa"/>
            <w:tcBorders/>
            <w:vAlign w:val="center"/>
          </w:tcPr>
          <w:p>
            <w:pPr>
              <w:pStyle w:val="TableContents"/>
              <w:bidi w:val="0"/>
              <w:ind w:hanging="0" w:left="0" w:right="0"/>
              <w:jc w:val="right"/>
              <w:rPr/>
            </w:pPr>
            <w:r>
              <w:rPr/>
              <w:t>20.000</w:t>
            </w:r>
          </w:p>
        </w:tc>
        <w:tc>
          <w:tcPr>
            <w:tcW w:w="1151" w:type="dxa"/>
            <w:tcBorders/>
            <w:vAlign w:val="center"/>
          </w:tcPr>
          <w:p>
            <w:pPr>
              <w:pStyle w:val="TableContents"/>
              <w:bidi w:val="0"/>
              <w:jc w:val="right"/>
              <w:rPr/>
            </w:pPr>
            <w:r>
              <w:rPr/>
              <w:t>25.000</w:t>
            </w:r>
          </w:p>
        </w:tc>
      </w:tr>
      <w:tr>
        <w:trPr/>
        <w:tc>
          <w:tcPr>
            <w:tcW w:w="2525" w:type="dxa"/>
            <w:tcBorders/>
            <w:vAlign w:val="center"/>
          </w:tcPr>
          <w:p>
            <w:pPr>
              <w:pStyle w:val="TableContents"/>
              <w:bidi w:val="0"/>
              <w:ind w:hanging="0" w:left="0" w:right="0"/>
              <w:jc w:val="left"/>
              <w:rPr/>
            </w:pPr>
            <w:r>
              <w:rPr/>
              <w:t>1 năm (2026)</w:t>
            </w:r>
          </w:p>
        </w:tc>
        <w:tc>
          <w:tcPr>
            <w:tcW w:w="1216" w:type="dxa"/>
            <w:tcBorders/>
            <w:vAlign w:val="center"/>
          </w:tcPr>
          <w:p>
            <w:pPr>
              <w:pStyle w:val="TableContents"/>
              <w:bidi w:val="0"/>
              <w:ind w:hanging="0" w:left="0" w:right="0"/>
              <w:jc w:val="right"/>
              <w:rPr/>
            </w:pPr>
            <w:r>
              <w:rPr/>
              <w:t>255.000</w:t>
            </w:r>
          </w:p>
        </w:tc>
        <w:tc>
          <w:tcPr>
            <w:tcW w:w="919" w:type="dxa"/>
            <w:tcBorders/>
            <w:vAlign w:val="center"/>
          </w:tcPr>
          <w:p>
            <w:pPr>
              <w:pStyle w:val="TableContents"/>
              <w:bidi w:val="0"/>
              <w:ind w:hanging="0" w:left="0" w:right="0"/>
              <w:jc w:val="right"/>
              <w:rPr/>
            </w:pPr>
            <w:r>
              <w:rPr/>
              <w:t>52.000</w:t>
            </w:r>
          </w:p>
        </w:tc>
        <w:tc>
          <w:tcPr>
            <w:tcW w:w="1151" w:type="dxa"/>
            <w:tcBorders/>
            <w:vAlign w:val="center"/>
          </w:tcPr>
          <w:p>
            <w:pPr>
              <w:pStyle w:val="TableContents"/>
              <w:bidi w:val="0"/>
              <w:jc w:val="right"/>
              <w:rPr/>
            </w:pPr>
            <w:r>
              <w:rPr/>
              <w:t>203.000</w:t>
            </w:r>
          </w:p>
        </w:tc>
      </w:tr>
      <w:tr>
        <w:trPr/>
        <w:tc>
          <w:tcPr>
            <w:tcW w:w="2525" w:type="dxa"/>
            <w:tcBorders/>
            <w:vAlign w:val="center"/>
          </w:tcPr>
          <w:p>
            <w:pPr>
              <w:pStyle w:val="TableContents"/>
              <w:bidi w:val="0"/>
              <w:ind w:hanging="0" w:left="0" w:right="0"/>
              <w:jc w:val="left"/>
              <w:rPr/>
            </w:pPr>
            <w:r>
              <w:rPr/>
              <w:t>2 năm (2026–27)</w:t>
            </w:r>
          </w:p>
        </w:tc>
        <w:tc>
          <w:tcPr>
            <w:tcW w:w="1216" w:type="dxa"/>
            <w:tcBorders/>
            <w:vAlign w:val="center"/>
          </w:tcPr>
          <w:p>
            <w:pPr>
              <w:pStyle w:val="TableContents"/>
              <w:bidi w:val="0"/>
              <w:ind w:hanging="0" w:left="0" w:right="0"/>
              <w:jc w:val="right"/>
              <w:rPr/>
            </w:pPr>
            <w:r>
              <w:rPr/>
              <w:t>1.270.000</w:t>
            </w:r>
          </w:p>
        </w:tc>
        <w:tc>
          <w:tcPr>
            <w:tcW w:w="919" w:type="dxa"/>
            <w:tcBorders/>
            <w:vAlign w:val="center"/>
          </w:tcPr>
          <w:p>
            <w:pPr>
              <w:pStyle w:val="TableContents"/>
              <w:bidi w:val="0"/>
              <w:ind w:hanging="0" w:left="0" w:right="0"/>
              <w:jc w:val="right"/>
              <w:rPr/>
            </w:pPr>
            <w:r>
              <w:rPr/>
              <w:t>100.000</w:t>
            </w:r>
          </w:p>
        </w:tc>
        <w:tc>
          <w:tcPr>
            <w:tcW w:w="1151" w:type="dxa"/>
            <w:tcBorders/>
            <w:vAlign w:val="center"/>
          </w:tcPr>
          <w:p>
            <w:pPr>
              <w:pStyle w:val="TableContents"/>
              <w:bidi w:val="0"/>
              <w:jc w:val="right"/>
              <w:rPr/>
            </w:pPr>
            <w:r>
              <w:rPr/>
              <w:t>1.170.000</w:t>
            </w:r>
          </w:p>
        </w:tc>
      </w:tr>
    </w:tbl>
    <w:p>
      <w:pPr>
        <w:pStyle w:val="BodyText"/>
        <w:bidi w:val="0"/>
        <w:jc w:val="left"/>
        <w:rPr/>
      </w:pPr>
      <w:r>
        <w:rPr/>
        <w:t>Tăng trưởng kịch bản cơ sở từ 2026 (110K USD) sang lũy kế 2 năm và về sau phản ánh việc ra mắt các lớp và kích hoạt cộng đồng; nếu thực thi Series A thành công, chúng tôi đặt mục tiêu run-rate doanh thu năm 2028 đạt 1–2 triệu USD (≈3–5× theo năm trong giai đoạn mở rộng). Đây là mục tiêu, không phải cam kết.</w:t>
      </w:r>
    </w:p>
    <w:p>
      <w:pPr>
        <w:pStyle w:val="Heading2sec"/>
        <w:bidi w:val="0"/>
        <w:jc w:val="left"/>
        <w:rPr/>
      </w:pPr>
      <w:r>
        <w:rPr/>
        <w:t>10. Mức Gọi Vốn &amp; Sử Dụng Vốn</w:t>
      </w:r>
    </w:p>
    <w:p>
      <w:pPr>
        <w:pStyle w:val="BodyText"/>
        <w:bidi w:val="0"/>
        <w:jc w:val="left"/>
        <w:rPr/>
      </w:pPr>
      <w:r>
        <w:rPr>
          <w:rStyle w:val="Strong"/>
        </w:rPr>
        <w:t>Series A 2–3 triệu USD.</w:t>
      </w:r>
      <w:r>
        <w:rPr/>
        <w:t xml:space="preserve"> Phân bổ minh hoạ tại điểm giữa 2,5 triệu USD, triển khai trong 24 tháng:</w:t>
      </w:r>
    </w:p>
    <w:tbl>
      <w:tblPr>
        <w:tblW w:w="10205" w:type="dxa"/>
        <w:jc w:val="left"/>
        <w:tblInd w:w="28" w:type="dxa"/>
        <w:tblLayout w:type="fixed"/>
        <w:tblCellMar>
          <w:top w:w="28" w:type="dxa"/>
          <w:left w:w="28" w:type="dxa"/>
          <w:bottom w:w="28" w:type="dxa"/>
          <w:right w:w="28" w:type="dxa"/>
        </w:tblCellMar>
      </w:tblPr>
      <w:tblGrid>
        <w:gridCol w:w="3165"/>
        <w:gridCol w:w="640"/>
        <w:gridCol w:w="1106"/>
        <w:gridCol w:w="5294"/>
      </w:tblGrid>
      <w:tr>
        <w:trPr/>
        <w:tc>
          <w:tcPr>
            <w:tcW w:w="3165" w:type="dxa"/>
            <w:tcBorders/>
            <w:vAlign w:val="center"/>
          </w:tcPr>
          <w:p>
            <w:pPr>
              <w:pStyle w:val="TableHeading"/>
              <w:bidi w:val="0"/>
              <w:ind w:hanging="0" w:left="0" w:right="0"/>
              <w:jc w:val="left"/>
              <w:rPr/>
            </w:pPr>
            <w:r>
              <w:rPr/>
              <w:t>Hạng mục</w:t>
            </w:r>
          </w:p>
        </w:tc>
        <w:tc>
          <w:tcPr>
            <w:tcW w:w="640" w:type="dxa"/>
            <w:tcBorders/>
            <w:vAlign w:val="center"/>
          </w:tcPr>
          <w:p>
            <w:pPr>
              <w:pStyle w:val="TableHeading"/>
              <w:bidi w:val="0"/>
              <w:ind w:hanging="0" w:left="0" w:right="0"/>
              <w:jc w:val="right"/>
              <w:rPr/>
            </w:pPr>
            <w:r>
              <w:rPr/>
              <w:t>%</w:t>
            </w:r>
          </w:p>
        </w:tc>
        <w:tc>
          <w:tcPr>
            <w:tcW w:w="1106" w:type="dxa"/>
            <w:tcBorders/>
            <w:vAlign w:val="center"/>
          </w:tcPr>
          <w:p>
            <w:pPr>
              <w:pStyle w:val="TableHeading"/>
              <w:bidi w:val="0"/>
              <w:jc w:val="right"/>
              <w:rPr/>
            </w:pPr>
            <w:r>
              <w:rPr/>
              <w:t>USD</w:t>
            </w:r>
          </w:p>
        </w:tc>
        <w:tc>
          <w:tcPr>
            <w:tcW w:w="5294" w:type="dxa"/>
            <w:tcBorders/>
            <w:vAlign w:val="center"/>
          </w:tcPr>
          <w:p>
            <w:pPr>
              <w:pStyle w:val="TableHeading"/>
              <w:suppressLineNumbers/>
              <w:shd w:fill="F2F4F8" w:val="clear"/>
              <w:bidi w:val="0"/>
              <w:jc w:val="left"/>
              <w:rPr/>
            </w:pPr>
            <w:r>
              <w:rPr/>
              <w:t>Mục đích</w:t>
            </w:r>
          </w:p>
        </w:tc>
      </w:tr>
      <w:tr>
        <w:trPr/>
        <w:tc>
          <w:tcPr>
            <w:tcW w:w="3165" w:type="dxa"/>
            <w:tcBorders/>
            <w:vAlign w:val="center"/>
          </w:tcPr>
          <w:p>
            <w:pPr>
              <w:pStyle w:val="TableContents"/>
              <w:bidi w:val="0"/>
              <w:ind w:hanging="0" w:left="0" w:right="0"/>
              <w:jc w:val="left"/>
              <w:rPr/>
            </w:pPr>
            <w:r>
              <w:rPr/>
              <w:t>Sản phẩm &amp; kỹ thuật</w:t>
            </w:r>
          </w:p>
        </w:tc>
        <w:tc>
          <w:tcPr>
            <w:tcW w:w="640" w:type="dxa"/>
            <w:tcBorders/>
            <w:vAlign w:val="center"/>
          </w:tcPr>
          <w:p>
            <w:pPr>
              <w:pStyle w:val="TableContents"/>
              <w:bidi w:val="0"/>
              <w:ind w:hanging="0" w:left="0" w:right="0"/>
              <w:jc w:val="right"/>
              <w:rPr/>
            </w:pPr>
            <w:r>
              <w:rPr/>
              <w:t>35%</w:t>
            </w:r>
          </w:p>
        </w:tc>
        <w:tc>
          <w:tcPr>
            <w:tcW w:w="1106" w:type="dxa"/>
            <w:tcBorders/>
            <w:vAlign w:val="center"/>
          </w:tcPr>
          <w:p>
            <w:pPr>
              <w:pStyle w:val="TableContents"/>
              <w:bidi w:val="0"/>
              <w:jc w:val="right"/>
              <w:rPr/>
            </w:pPr>
            <w:r>
              <w:rPr/>
              <w:t>875.000</w:t>
            </w:r>
          </w:p>
        </w:tc>
        <w:tc>
          <w:tcPr>
            <w:tcW w:w="5294" w:type="dxa"/>
            <w:tcBorders/>
            <w:vAlign w:val="center"/>
          </w:tcPr>
          <w:p>
            <w:pPr>
              <w:pStyle w:val="TableContents"/>
              <w:widowControl w:val="false"/>
              <w:suppressLineNumbers/>
              <w:bidi w:val="0"/>
              <w:jc w:val="left"/>
              <w:rPr/>
            </w:pPr>
            <w:r>
              <w:rPr/>
              <w:t>Layer 1–2, mobile/PWA, bảo mật, hạ tầng</w:t>
            </w:r>
          </w:p>
        </w:tc>
      </w:tr>
      <w:tr>
        <w:trPr/>
        <w:tc>
          <w:tcPr>
            <w:tcW w:w="3165" w:type="dxa"/>
            <w:tcBorders/>
            <w:vAlign w:val="center"/>
          </w:tcPr>
          <w:p>
            <w:pPr>
              <w:pStyle w:val="TableContents"/>
              <w:bidi w:val="0"/>
              <w:ind w:hanging="0" w:left="0" w:right="0"/>
              <w:jc w:val="left"/>
              <w:rPr/>
            </w:pPr>
            <w:r>
              <w:rPr/>
              <w:t>Đội ngũ &amp; vận hành</w:t>
            </w:r>
          </w:p>
        </w:tc>
        <w:tc>
          <w:tcPr>
            <w:tcW w:w="640" w:type="dxa"/>
            <w:tcBorders/>
            <w:vAlign w:val="center"/>
          </w:tcPr>
          <w:p>
            <w:pPr>
              <w:pStyle w:val="TableContents"/>
              <w:bidi w:val="0"/>
              <w:ind w:hanging="0" w:left="0" w:right="0"/>
              <w:jc w:val="right"/>
              <w:rPr/>
            </w:pPr>
            <w:r>
              <w:rPr/>
              <w:t>23%</w:t>
            </w:r>
          </w:p>
        </w:tc>
        <w:tc>
          <w:tcPr>
            <w:tcW w:w="1106" w:type="dxa"/>
            <w:tcBorders/>
            <w:vAlign w:val="center"/>
          </w:tcPr>
          <w:p>
            <w:pPr>
              <w:pStyle w:val="TableContents"/>
              <w:bidi w:val="0"/>
              <w:jc w:val="right"/>
              <w:rPr/>
            </w:pPr>
            <w:r>
              <w:rPr/>
              <w:t>575.000</w:t>
            </w:r>
          </w:p>
        </w:tc>
        <w:tc>
          <w:tcPr>
            <w:tcW w:w="5294" w:type="dxa"/>
            <w:tcBorders/>
            <w:vAlign w:val="center"/>
          </w:tcPr>
          <w:p>
            <w:pPr>
              <w:pStyle w:val="TableContents"/>
              <w:widowControl w:val="false"/>
              <w:suppressLineNumbers/>
              <w:bidi w:val="0"/>
              <w:jc w:val="left"/>
              <w:rPr/>
            </w:pPr>
            <w:r>
              <w:rPr/>
              <w:t>Tuyển dụng then chốt; giảm phụ thuộc nhà sáng lập</w:t>
            </w:r>
          </w:p>
        </w:tc>
      </w:tr>
      <w:tr>
        <w:trPr/>
        <w:tc>
          <w:tcPr>
            <w:tcW w:w="3165" w:type="dxa"/>
            <w:tcBorders/>
            <w:vAlign w:val="center"/>
          </w:tcPr>
          <w:p>
            <w:pPr>
              <w:pStyle w:val="TableContents"/>
              <w:bidi w:val="0"/>
              <w:ind w:hanging="0" w:left="0" w:right="0"/>
              <w:jc w:val="left"/>
              <w:rPr/>
            </w:pPr>
            <w:r>
              <w:rPr/>
              <w:t>Marketing &amp; tăng trưởng cộng đồng</w:t>
            </w:r>
          </w:p>
        </w:tc>
        <w:tc>
          <w:tcPr>
            <w:tcW w:w="640" w:type="dxa"/>
            <w:tcBorders/>
            <w:vAlign w:val="center"/>
          </w:tcPr>
          <w:p>
            <w:pPr>
              <w:pStyle w:val="TableContents"/>
              <w:bidi w:val="0"/>
              <w:ind w:hanging="0" w:left="0" w:right="0"/>
              <w:jc w:val="right"/>
              <w:rPr/>
            </w:pPr>
            <w:r>
              <w:rPr/>
              <w:t>20%</w:t>
            </w:r>
          </w:p>
        </w:tc>
        <w:tc>
          <w:tcPr>
            <w:tcW w:w="1106" w:type="dxa"/>
            <w:tcBorders/>
            <w:vAlign w:val="center"/>
          </w:tcPr>
          <w:p>
            <w:pPr>
              <w:pStyle w:val="TableContents"/>
              <w:bidi w:val="0"/>
              <w:jc w:val="right"/>
              <w:rPr/>
            </w:pPr>
            <w:r>
              <w:rPr/>
              <w:t>500.000</w:t>
            </w:r>
          </w:p>
        </w:tc>
        <w:tc>
          <w:tcPr>
            <w:tcW w:w="5294" w:type="dxa"/>
            <w:tcBorders/>
            <w:vAlign w:val="center"/>
          </w:tcPr>
          <w:p>
            <w:pPr>
              <w:pStyle w:val="TableContents"/>
              <w:widowControl w:val="false"/>
              <w:suppressLineNumbers/>
              <w:bidi w:val="0"/>
              <w:jc w:val="left"/>
              <w:rPr/>
            </w:pPr>
            <w:r>
              <w:rPr/>
              <w:t>CAC, hợp tác cộng đồng, sự kiện</w:t>
            </w:r>
          </w:p>
        </w:tc>
      </w:tr>
      <w:tr>
        <w:trPr/>
        <w:tc>
          <w:tcPr>
            <w:tcW w:w="3165" w:type="dxa"/>
            <w:tcBorders/>
            <w:vAlign w:val="center"/>
          </w:tcPr>
          <w:p>
            <w:pPr>
              <w:pStyle w:val="TableContents"/>
              <w:bidi w:val="0"/>
              <w:ind w:hanging="0" w:left="0" w:right="0"/>
              <w:jc w:val="left"/>
              <w:rPr/>
            </w:pPr>
            <w:r>
              <w:rPr/>
              <w:t>Pháp lý &amp; tuân thủ</w:t>
            </w:r>
          </w:p>
        </w:tc>
        <w:tc>
          <w:tcPr>
            <w:tcW w:w="640" w:type="dxa"/>
            <w:tcBorders/>
            <w:vAlign w:val="center"/>
          </w:tcPr>
          <w:p>
            <w:pPr>
              <w:pStyle w:val="TableContents"/>
              <w:bidi w:val="0"/>
              <w:ind w:hanging="0" w:left="0" w:right="0"/>
              <w:jc w:val="right"/>
              <w:rPr/>
            </w:pPr>
            <w:r>
              <w:rPr/>
              <w:t>12%</w:t>
            </w:r>
          </w:p>
        </w:tc>
        <w:tc>
          <w:tcPr>
            <w:tcW w:w="1106" w:type="dxa"/>
            <w:tcBorders/>
            <w:vAlign w:val="center"/>
          </w:tcPr>
          <w:p>
            <w:pPr>
              <w:pStyle w:val="TableContents"/>
              <w:bidi w:val="0"/>
              <w:jc w:val="right"/>
              <w:rPr/>
            </w:pPr>
            <w:r>
              <w:rPr/>
              <w:t>300.000</w:t>
            </w:r>
          </w:p>
        </w:tc>
        <w:tc>
          <w:tcPr>
            <w:tcW w:w="5294" w:type="dxa"/>
            <w:tcBorders/>
            <w:vAlign w:val="center"/>
          </w:tcPr>
          <w:p>
            <w:pPr>
              <w:pStyle w:val="TableContents"/>
              <w:widowControl w:val="false"/>
              <w:suppressLineNumbers/>
              <w:bidi w:val="0"/>
              <w:jc w:val="left"/>
              <w:rPr/>
            </w:pPr>
            <w:r>
              <w:rPr/>
              <w:t>Pháp nhân US/VN, phi lợi nhuận, an toàn trẻ em, chứng khoán</w:t>
            </w:r>
          </w:p>
        </w:tc>
      </w:tr>
      <w:tr>
        <w:trPr/>
        <w:tc>
          <w:tcPr>
            <w:tcW w:w="3165" w:type="dxa"/>
            <w:tcBorders/>
            <w:vAlign w:val="center"/>
          </w:tcPr>
          <w:p>
            <w:pPr>
              <w:pStyle w:val="TableContents"/>
              <w:bidi w:val="0"/>
              <w:ind w:hanging="0" w:left="0" w:right="0"/>
              <w:jc w:val="left"/>
              <w:rPr/>
            </w:pPr>
            <w:r>
              <w:rPr/>
              <w:t>Nội dung &amp; mạng lưới sáng tạo</w:t>
            </w:r>
          </w:p>
        </w:tc>
        <w:tc>
          <w:tcPr>
            <w:tcW w:w="640" w:type="dxa"/>
            <w:tcBorders/>
            <w:vAlign w:val="center"/>
          </w:tcPr>
          <w:p>
            <w:pPr>
              <w:pStyle w:val="TableContents"/>
              <w:bidi w:val="0"/>
              <w:ind w:hanging="0" w:left="0" w:right="0"/>
              <w:jc w:val="right"/>
              <w:rPr/>
            </w:pPr>
            <w:r>
              <w:rPr/>
              <w:t>6%</w:t>
            </w:r>
          </w:p>
        </w:tc>
        <w:tc>
          <w:tcPr>
            <w:tcW w:w="1106" w:type="dxa"/>
            <w:tcBorders/>
            <w:vAlign w:val="center"/>
          </w:tcPr>
          <w:p>
            <w:pPr>
              <w:pStyle w:val="TableContents"/>
              <w:bidi w:val="0"/>
              <w:jc w:val="right"/>
              <w:rPr/>
            </w:pPr>
            <w:r>
              <w:rPr/>
              <w:t>150.000</w:t>
            </w:r>
          </w:p>
        </w:tc>
        <w:tc>
          <w:tcPr>
            <w:tcW w:w="5294" w:type="dxa"/>
            <w:tcBorders/>
            <w:vAlign w:val="center"/>
          </w:tcPr>
          <w:p>
            <w:pPr>
              <w:pStyle w:val="TableContents"/>
              <w:widowControl w:val="false"/>
              <w:suppressLineNumbers/>
              <w:bidi w:val="0"/>
              <w:jc w:val="left"/>
              <w:rPr/>
            </w:pPr>
            <w:r>
              <w:rPr/>
              <w:t>Hạt giống nhà sáng tạo/cố vấn, máy sản xuất nội dung</w:t>
            </w:r>
          </w:p>
        </w:tc>
      </w:tr>
      <w:tr>
        <w:trPr/>
        <w:tc>
          <w:tcPr>
            <w:tcW w:w="3165" w:type="dxa"/>
            <w:tcBorders/>
            <w:vAlign w:val="center"/>
          </w:tcPr>
          <w:p>
            <w:pPr>
              <w:pStyle w:val="TableContents"/>
              <w:bidi w:val="0"/>
              <w:ind w:hanging="0" w:left="0" w:right="0"/>
              <w:jc w:val="left"/>
              <w:rPr/>
            </w:pPr>
            <w:r>
              <w:rPr/>
              <w:t>Dự phòng</w:t>
            </w:r>
          </w:p>
        </w:tc>
        <w:tc>
          <w:tcPr>
            <w:tcW w:w="640" w:type="dxa"/>
            <w:tcBorders/>
            <w:vAlign w:val="center"/>
          </w:tcPr>
          <w:p>
            <w:pPr>
              <w:pStyle w:val="TableContents"/>
              <w:bidi w:val="0"/>
              <w:ind w:hanging="0" w:left="0" w:right="0"/>
              <w:jc w:val="right"/>
              <w:rPr/>
            </w:pPr>
            <w:r>
              <w:rPr/>
              <w:t>4%</w:t>
            </w:r>
          </w:p>
        </w:tc>
        <w:tc>
          <w:tcPr>
            <w:tcW w:w="1106" w:type="dxa"/>
            <w:tcBorders/>
            <w:vAlign w:val="center"/>
          </w:tcPr>
          <w:p>
            <w:pPr>
              <w:pStyle w:val="TableContents"/>
              <w:bidi w:val="0"/>
              <w:jc w:val="right"/>
              <w:rPr/>
            </w:pPr>
            <w:r>
              <w:rPr/>
              <w:t>100.000</w:t>
            </w:r>
          </w:p>
        </w:tc>
        <w:tc>
          <w:tcPr>
            <w:tcW w:w="5294" w:type="dxa"/>
            <w:tcBorders/>
            <w:vAlign w:val="center"/>
          </w:tcPr>
          <w:p>
            <w:pPr>
              <w:pStyle w:val="TableContents"/>
              <w:widowControl w:val="false"/>
              <w:suppressLineNumbers/>
              <w:bidi w:val="0"/>
              <w:jc w:val="left"/>
              <w:rPr/>
            </w:pPr>
            <w:r>
              <w:rPr/>
              <w:t>Đệm rủi ro</w:t>
            </w:r>
          </w:p>
        </w:tc>
      </w:tr>
      <w:tr>
        <w:trPr/>
        <w:tc>
          <w:tcPr>
            <w:tcW w:w="3165" w:type="dxa"/>
            <w:tcBorders/>
            <w:vAlign w:val="center"/>
          </w:tcPr>
          <w:p>
            <w:pPr>
              <w:pStyle w:val="TableHeading"/>
              <w:bidi w:val="0"/>
              <w:ind w:hanging="0" w:left="0" w:right="0"/>
              <w:jc w:val="left"/>
              <w:rPr/>
            </w:pPr>
            <w:r>
              <w:rPr/>
              <w:t>Tổng</w:t>
            </w:r>
          </w:p>
        </w:tc>
        <w:tc>
          <w:tcPr>
            <w:tcW w:w="640" w:type="dxa"/>
            <w:tcBorders/>
            <w:vAlign w:val="center"/>
          </w:tcPr>
          <w:p>
            <w:pPr>
              <w:pStyle w:val="TableHeading"/>
              <w:bidi w:val="0"/>
              <w:ind w:hanging="0" w:left="0" w:right="0"/>
              <w:jc w:val="right"/>
              <w:rPr/>
            </w:pPr>
            <w:r>
              <w:rPr/>
              <w:t>100%</w:t>
            </w:r>
          </w:p>
        </w:tc>
        <w:tc>
          <w:tcPr>
            <w:tcW w:w="1106" w:type="dxa"/>
            <w:tcBorders/>
            <w:vAlign w:val="center"/>
          </w:tcPr>
          <w:p>
            <w:pPr>
              <w:pStyle w:val="TableHeading"/>
              <w:bidi w:val="0"/>
              <w:jc w:val="right"/>
              <w:rPr/>
            </w:pPr>
            <w:r>
              <w:rPr/>
              <w:t>2.500.000</w:t>
            </w:r>
          </w:p>
        </w:tc>
        <w:tc>
          <w:tcPr>
            <w:tcW w:w="5294" w:type="dxa"/>
            <w:tcBorders/>
            <w:vAlign w:val="center"/>
          </w:tcPr>
          <w:p>
            <w:pPr>
              <w:pStyle w:val="TableHeading"/>
              <w:bidi w:val="0"/>
              <w:jc w:val="left"/>
              <w:rPr>
                <w:sz w:val="4"/>
                <w:szCs w:val="4"/>
              </w:rPr>
            </w:pPr>
            <w:r>
              <w:rPr>
                <w:sz w:val="4"/>
                <w:szCs w:val="4"/>
              </w:rPr>
            </w:r>
          </w:p>
        </w:tc>
      </w:tr>
    </w:tbl>
    <w:p>
      <w:pPr>
        <w:pStyle w:val="Heading2sec"/>
        <w:bidi w:val="0"/>
        <w:jc w:val="left"/>
        <w:rPr/>
      </w:pPr>
      <w:r>
        <w:rPr/>
        <w:t>11. Lộ Trình &amp; Mốc (điều kiện giải ngân)</w:t>
      </w:r>
    </w:p>
    <w:tbl>
      <w:tblPr>
        <w:tblW w:w="9976" w:type="dxa"/>
        <w:jc w:val="left"/>
        <w:tblInd w:w="28" w:type="dxa"/>
        <w:tblLayout w:type="fixed"/>
        <w:tblCellMar>
          <w:top w:w="28" w:type="dxa"/>
          <w:left w:w="28" w:type="dxa"/>
          <w:bottom w:w="28" w:type="dxa"/>
          <w:right w:w="28" w:type="dxa"/>
        </w:tblCellMar>
      </w:tblPr>
      <w:tblGrid>
        <w:gridCol w:w="5886"/>
        <w:gridCol w:w="2079"/>
        <w:gridCol w:w="2011"/>
      </w:tblGrid>
      <w:tr>
        <w:trPr/>
        <w:tc>
          <w:tcPr>
            <w:tcW w:w="5886" w:type="dxa"/>
            <w:tcBorders/>
            <w:vAlign w:val="center"/>
          </w:tcPr>
          <w:p>
            <w:pPr>
              <w:pStyle w:val="TableHeading"/>
              <w:suppressLineNumbers/>
              <w:shd w:fill="F2F4F8" w:val="clear"/>
              <w:bidi w:val="0"/>
              <w:jc w:val="left"/>
              <w:rPr/>
            </w:pPr>
            <w:r>
              <w:rPr/>
              <w:t>Mốc</w:t>
            </w:r>
          </w:p>
        </w:tc>
        <w:tc>
          <w:tcPr>
            <w:tcW w:w="2079" w:type="dxa"/>
            <w:tcBorders/>
            <w:vAlign w:val="center"/>
          </w:tcPr>
          <w:p>
            <w:pPr>
              <w:pStyle w:val="TableHeading"/>
              <w:suppressLineNumbers/>
              <w:shd w:fill="F2F4F8" w:val="clear"/>
              <w:bidi w:val="0"/>
              <w:jc w:val="left"/>
              <w:rPr/>
            </w:pPr>
            <w:r>
              <w:rPr/>
              <w:t>Mục tiêu</w:t>
            </w:r>
          </w:p>
        </w:tc>
        <w:tc>
          <w:tcPr>
            <w:tcW w:w="2011" w:type="dxa"/>
            <w:tcBorders/>
            <w:vAlign w:val="center"/>
          </w:tcPr>
          <w:p>
            <w:pPr>
              <w:pStyle w:val="TableHeading"/>
              <w:suppressLineNumbers/>
              <w:shd w:fill="F2F4F8" w:val="clear"/>
              <w:bidi w:val="0"/>
              <w:jc w:val="left"/>
              <w:rPr/>
            </w:pPr>
            <w:r>
              <w:rPr/>
              <w:t>Đợt</w:t>
            </w:r>
          </w:p>
        </w:tc>
      </w:tr>
      <w:tr>
        <w:trPr/>
        <w:tc>
          <w:tcPr>
            <w:tcW w:w="5886" w:type="dxa"/>
            <w:tcBorders/>
            <w:vAlign w:val="center"/>
          </w:tcPr>
          <w:p>
            <w:pPr>
              <w:pStyle w:val="TableContents"/>
              <w:widowControl w:val="false"/>
              <w:suppressLineNumbers/>
              <w:bidi w:val="0"/>
              <w:jc w:val="left"/>
              <w:rPr/>
            </w:pPr>
            <w:r>
              <w:rPr/>
              <w:t>Hoàn thiện pháp lý (US/VN, phi lợi nhuận, an toàn trẻ em)</w:t>
            </w:r>
          </w:p>
        </w:tc>
        <w:tc>
          <w:tcPr>
            <w:tcW w:w="2079" w:type="dxa"/>
            <w:tcBorders/>
            <w:vAlign w:val="center"/>
          </w:tcPr>
          <w:p>
            <w:pPr>
              <w:pStyle w:val="TableContents"/>
              <w:widowControl w:val="false"/>
              <w:suppressLineNumbers/>
              <w:bidi w:val="0"/>
              <w:jc w:val="left"/>
              <w:rPr/>
            </w:pPr>
            <w:r>
              <w:rPr/>
              <w:t>Q3–Q4 2026</w:t>
            </w:r>
          </w:p>
        </w:tc>
        <w:tc>
          <w:tcPr>
            <w:tcW w:w="2011" w:type="dxa"/>
            <w:tcBorders/>
            <w:vAlign w:val="center"/>
          </w:tcPr>
          <w:p>
            <w:pPr>
              <w:pStyle w:val="TableContents"/>
              <w:widowControl w:val="false"/>
              <w:suppressLineNumbers/>
              <w:bidi w:val="0"/>
              <w:jc w:val="left"/>
              <w:rPr/>
            </w:pPr>
            <w:r>
              <w:rPr/>
              <w:t>Đợt 1</w:t>
            </w:r>
          </w:p>
        </w:tc>
      </w:tr>
      <w:tr>
        <w:trPr/>
        <w:tc>
          <w:tcPr>
            <w:tcW w:w="5886" w:type="dxa"/>
            <w:tcBorders/>
            <w:vAlign w:val="center"/>
          </w:tcPr>
          <w:p>
            <w:pPr>
              <w:pStyle w:val="TableContents"/>
              <w:widowControl w:val="false"/>
              <w:suppressLineNumbers/>
              <w:bidi w:val="0"/>
              <w:jc w:val="left"/>
              <w:rPr/>
            </w:pPr>
            <w:r>
              <w:rPr/>
              <w:t>Layer 1 chạy + 25–50 nhà tài trợ đầu tiên</w:t>
            </w:r>
          </w:p>
        </w:tc>
        <w:tc>
          <w:tcPr>
            <w:tcW w:w="2079" w:type="dxa"/>
            <w:tcBorders/>
            <w:vAlign w:val="center"/>
          </w:tcPr>
          <w:p>
            <w:pPr>
              <w:pStyle w:val="TableContents"/>
              <w:widowControl w:val="false"/>
              <w:suppressLineNumbers/>
              <w:bidi w:val="0"/>
              <w:jc w:val="left"/>
              <w:rPr/>
            </w:pPr>
            <w:r>
              <w:rPr/>
              <w:t>Q4 2026 – Q1 2027</w:t>
            </w:r>
          </w:p>
        </w:tc>
        <w:tc>
          <w:tcPr>
            <w:tcW w:w="2011" w:type="dxa"/>
            <w:tcBorders/>
            <w:vAlign w:val="center"/>
          </w:tcPr>
          <w:p>
            <w:pPr>
              <w:pStyle w:val="TableContents"/>
              <w:widowControl w:val="false"/>
              <w:suppressLineNumbers/>
              <w:bidi w:val="0"/>
              <w:jc w:val="left"/>
              <w:rPr/>
            </w:pPr>
            <w:r>
              <w:rPr/>
              <w:t>Đợt 2</w:t>
            </w:r>
          </w:p>
        </w:tc>
      </w:tr>
      <w:tr>
        <w:trPr/>
        <w:tc>
          <w:tcPr>
            <w:tcW w:w="5886" w:type="dxa"/>
            <w:tcBorders/>
            <w:vAlign w:val="center"/>
          </w:tcPr>
          <w:p>
            <w:pPr>
              <w:pStyle w:val="TableContents"/>
              <w:widowControl w:val="false"/>
              <w:suppressLineNumbers/>
              <w:bidi w:val="0"/>
              <w:jc w:val="left"/>
              <w:rPr/>
            </w:pPr>
            <w:r>
              <w:rPr/>
              <w:t>Layer 2 chạy + hội viên mở rộng</w:t>
            </w:r>
          </w:p>
        </w:tc>
        <w:tc>
          <w:tcPr>
            <w:tcW w:w="2079" w:type="dxa"/>
            <w:tcBorders/>
            <w:vAlign w:val="center"/>
          </w:tcPr>
          <w:p>
            <w:pPr>
              <w:pStyle w:val="TableContents"/>
              <w:widowControl w:val="false"/>
              <w:suppressLineNumbers/>
              <w:bidi w:val="0"/>
              <w:jc w:val="left"/>
              <w:rPr/>
            </w:pPr>
            <w:r>
              <w:rPr/>
              <w:t>2027</w:t>
            </w:r>
          </w:p>
        </w:tc>
        <w:tc>
          <w:tcPr>
            <w:tcW w:w="2011" w:type="dxa"/>
            <w:tcBorders/>
            <w:vAlign w:val="center"/>
          </w:tcPr>
          <w:p>
            <w:pPr>
              <w:pStyle w:val="TableContents"/>
              <w:widowControl w:val="false"/>
              <w:suppressLineNumbers/>
              <w:bidi w:val="0"/>
              <w:jc w:val="left"/>
              <w:rPr/>
            </w:pPr>
            <w:r>
              <w:rPr/>
              <w:t>Đợt 3</w:t>
            </w:r>
          </w:p>
        </w:tc>
      </w:tr>
      <w:tr>
        <w:trPr/>
        <w:tc>
          <w:tcPr>
            <w:tcW w:w="5886" w:type="dxa"/>
            <w:tcBorders/>
            <w:vAlign w:val="center"/>
          </w:tcPr>
          <w:p>
            <w:pPr>
              <w:pStyle w:val="TableContents"/>
              <w:widowControl w:val="false"/>
              <w:suppressLineNumbers/>
              <w:bidi w:val="0"/>
              <w:jc w:val="left"/>
              <w:rPr/>
            </w:pPr>
            <w:r>
              <w:rPr/>
              <w:t>Run-rate doanh thu 1 triệu USD+/năm</w:t>
            </w:r>
          </w:p>
        </w:tc>
        <w:tc>
          <w:tcPr>
            <w:tcW w:w="2079" w:type="dxa"/>
            <w:tcBorders/>
            <w:vAlign w:val="center"/>
          </w:tcPr>
          <w:p>
            <w:pPr>
              <w:pStyle w:val="TableContents"/>
              <w:widowControl w:val="false"/>
              <w:suppressLineNumbers/>
              <w:bidi w:val="0"/>
              <w:jc w:val="left"/>
              <w:rPr/>
            </w:pPr>
            <w:r>
              <w:rPr/>
              <w:t>2028</w:t>
            </w:r>
          </w:p>
        </w:tc>
        <w:tc>
          <w:tcPr>
            <w:tcW w:w="2011" w:type="dxa"/>
            <w:tcBorders/>
            <w:vAlign w:val="center"/>
          </w:tcPr>
          <w:p>
            <w:pPr>
              <w:pStyle w:val="TableContents"/>
              <w:widowControl w:val="false"/>
              <w:suppressLineNumbers/>
              <w:bidi w:val="0"/>
              <w:jc w:val="left"/>
              <w:rPr/>
            </w:pPr>
            <w:r>
              <w:rPr/>
              <w:t>Sẵn sàng Series B</w:t>
            </w:r>
          </w:p>
        </w:tc>
      </w:tr>
    </w:tbl>
    <w:p>
      <w:pPr>
        <w:pStyle w:val="Heading2sec"/>
        <w:bidi w:val="0"/>
        <w:jc w:val="left"/>
        <w:rPr/>
      </w:pPr>
      <w:r>
        <w:rPr/>
        <w:t>12. Rủi Ro &amp; Giảm Thiểu</w:t>
      </w:r>
    </w:p>
    <w:tbl>
      <w:tblPr>
        <w:tblW w:w="10205" w:type="dxa"/>
        <w:jc w:val="left"/>
        <w:tblInd w:w="28" w:type="dxa"/>
        <w:tblLayout w:type="fixed"/>
        <w:tblCellMar>
          <w:top w:w="28" w:type="dxa"/>
          <w:left w:w="28" w:type="dxa"/>
          <w:bottom w:w="28" w:type="dxa"/>
          <w:right w:w="28" w:type="dxa"/>
        </w:tblCellMar>
      </w:tblPr>
      <w:tblGrid>
        <w:gridCol w:w="4497"/>
        <w:gridCol w:w="5708"/>
      </w:tblGrid>
      <w:tr>
        <w:trPr/>
        <w:tc>
          <w:tcPr>
            <w:tcW w:w="4497" w:type="dxa"/>
            <w:tcBorders/>
            <w:vAlign w:val="center"/>
          </w:tcPr>
          <w:p>
            <w:pPr>
              <w:pStyle w:val="TableHeading"/>
              <w:suppressLineNumbers/>
              <w:shd w:fill="F2F4F8" w:val="clear"/>
              <w:bidi w:val="0"/>
              <w:jc w:val="left"/>
              <w:rPr/>
            </w:pPr>
            <w:r>
              <w:rPr/>
              <w:t>Rủi ro</w:t>
            </w:r>
          </w:p>
        </w:tc>
        <w:tc>
          <w:tcPr>
            <w:tcW w:w="5708" w:type="dxa"/>
            <w:tcBorders/>
            <w:vAlign w:val="center"/>
          </w:tcPr>
          <w:p>
            <w:pPr>
              <w:pStyle w:val="TableHeading"/>
              <w:suppressLineNumbers/>
              <w:shd w:fill="F2F4F8" w:val="clear"/>
              <w:bidi w:val="0"/>
              <w:jc w:val="left"/>
              <w:rPr/>
            </w:pPr>
            <w:r>
              <w:rPr/>
              <w:t>Giảm thiểu</w:t>
            </w:r>
          </w:p>
        </w:tc>
      </w:tr>
      <w:tr>
        <w:trPr/>
        <w:tc>
          <w:tcPr>
            <w:tcW w:w="4497" w:type="dxa"/>
            <w:tcBorders/>
            <w:vAlign w:val="center"/>
          </w:tcPr>
          <w:p>
            <w:pPr>
              <w:pStyle w:val="TableContents"/>
              <w:widowControl w:val="false"/>
              <w:suppressLineNumbers/>
              <w:bidi w:val="0"/>
              <w:jc w:val="left"/>
              <w:rPr/>
            </w:pPr>
            <w:r>
              <w:rPr/>
              <w:t>Chưa doanh thu / chưa lực kéo</w:t>
            </w:r>
          </w:p>
        </w:tc>
        <w:tc>
          <w:tcPr>
            <w:tcW w:w="5708" w:type="dxa"/>
            <w:tcBorders/>
            <w:vAlign w:val="center"/>
          </w:tcPr>
          <w:p>
            <w:pPr>
              <w:pStyle w:val="TableContents"/>
              <w:widowControl w:val="false"/>
              <w:suppressLineNumbers/>
              <w:bidi w:val="0"/>
              <w:jc w:val="left"/>
              <w:rPr/>
            </w:pPr>
            <w:r>
              <w:rPr/>
              <w:t>Giải ngân theo mốc; kiểm chứng giá &amp; chốt nhà tài trợ trụ cột trước ra mắt</w:t>
            </w:r>
          </w:p>
        </w:tc>
      </w:tr>
      <w:tr>
        <w:trPr/>
        <w:tc>
          <w:tcPr>
            <w:tcW w:w="4497" w:type="dxa"/>
            <w:tcBorders/>
            <w:vAlign w:val="center"/>
          </w:tcPr>
          <w:p>
            <w:pPr>
              <w:pStyle w:val="TableContents"/>
              <w:widowControl w:val="false"/>
              <w:suppressLineNumbers/>
              <w:bidi w:val="0"/>
              <w:jc w:val="left"/>
              <w:rPr/>
            </w:pPr>
            <w:r>
              <w:rPr/>
              <w:t>Pháp lý/quy định (US + VN, an toàn trẻ em, chứng khoán)</w:t>
            </w:r>
          </w:p>
        </w:tc>
        <w:tc>
          <w:tcPr>
            <w:tcW w:w="5708" w:type="dxa"/>
            <w:tcBorders/>
            <w:vAlign w:val="center"/>
          </w:tcPr>
          <w:p>
            <w:pPr>
              <w:pStyle w:val="TableContents"/>
              <w:widowControl w:val="false"/>
              <w:suppressLineNumbers/>
              <w:bidi w:val="0"/>
              <w:jc w:val="left"/>
              <w:rPr/>
            </w:pPr>
            <w:r>
              <w:rPr/>
              <w:t>Ngân sách pháp lý riêng; tường lửa ba làn; tư vấn trước mọi chào bán</w:t>
            </w:r>
          </w:p>
        </w:tc>
      </w:tr>
      <w:tr>
        <w:trPr/>
        <w:tc>
          <w:tcPr>
            <w:tcW w:w="4497" w:type="dxa"/>
            <w:tcBorders/>
            <w:vAlign w:val="center"/>
          </w:tcPr>
          <w:p>
            <w:pPr>
              <w:pStyle w:val="TableContents"/>
              <w:widowControl w:val="false"/>
              <w:suppressLineNumbers/>
              <w:bidi w:val="0"/>
              <w:jc w:val="left"/>
              <w:rPr/>
            </w:pPr>
            <w:r>
              <w:rPr/>
              <w:t>Phụ thuộc nhà sáng lập</w:t>
            </w:r>
          </w:p>
        </w:tc>
        <w:tc>
          <w:tcPr>
            <w:tcW w:w="5708" w:type="dxa"/>
            <w:tcBorders/>
            <w:vAlign w:val="center"/>
          </w:tcPr>
          <w:p>
            <w:pPr>
              <w:pStyle w:val="TableContents"/>
              <w:widowControl w:val="false"/>
              <w:suppressLineNumbers/>
              <w:bidi w:val="0"/>
              <w:jc w:val="left"/>
              <w:rPr/>
            </w:pPr>
            <w:r>
              <w:rPr/>
              <w:t>Tuyển dụng then chốt từ vòng này</w:t>
            </w:r>
          </w:p>
        </w:tc>
      </w:tr>
      <w:tr>
        <w:trPr/>
        <w:tc>
          <w:tcPr>
            <w:tcW w:w="4497" w:type="dxa"/>
            <w:tcBorders/>
            <w:vAlign w:val="center"/>
          </w:tcPr>
          <w:p>
            <w:pPr>
              <w:pStyle w:val="TableContents"/>
              <w:widowControl w:val="false"/>
              <w:suppressLineNumbers/>
              <w:bidi w:val="0"/>
              <w:jc w:val="left"/>
              <w:rPr/>
            </w:pPr>
            <w:r>
              <w:rPr/>
              <w:t>Thị trường/giá chưa kiểm chứng</w:t>
            </w:r>
          </w:p>
        </w:tc>
        <w:tc>
          <w:tcPr>
            <w:tcW w:w="5708" w:type="dxa"/>
            <w:tcBorders/>
            <w:vAlign w:val="center"/>
          </w:tcPr>
          <w:p>
            <w:pPr>
              <w:pStyle w:val="TableContents"/>
              <w:widowControl w:val="false"/>
              <w:suppressLineNumbers/>
              <w:bidi w:val="0"/>
              <w:jc w:val="left"/>
              <w:rPr/>
            </w:pPr>
            <w:r>
              <w:rPr/>
              <w:t>Phỏng vấn khách hàng, thử nghiệm giá A/B, kỷ luật CAC/LTV</w:t>
            </w:r>
          </w:p>
        </w:tc>
      </w:tr>
      <w:tr>
        <w:trPr/>
        <w:tc>
          <w:tcPr>
            <w:tcW w:w="4497" w:type="dxa"/>
            <w:tcBorders/>
            <w:vAlign w:val="center"/>
          </w:tcPr>
          <w:p>
            <w:pPr>
              <w:pStyle w:val="TableContents"/>
              <w:widowControl w:val="false"/>
              <w:suppressLineNumbers/>
              <w:bidi w:val="0"/>
              <w:jc w:val="left"/>
              <w:rPr/>
            </w:pPr>
            <w:r>
              <w:rPr/>
              <w:t>Thực thi/tiến độ</w:t>
            </w:r>
          </w:p>
        </w:tc>
        <w:tc>
          <w:tcPr>
            <w:tcW w:w="5708" w:type="dxa"/>
            <w:tcBorders/>
            <w:vAlign w:val="center"/>
          </w:tcPr>
          <w:p>
            <w:pPr>
              <w:pStyle w:val="TableContents"/>
              <w:widowControl w:val="false"/>
              <w:suppressLineNumbers/>
              <w:bidi w:val="0"/>
              <w:jc w:val="left"/>
              <w:rPr/>
            </w:pPr>
            <w:r>
              <w:rPr/>
              <w:t>Ra mắt theo MVP từng lớp; báo cáo nhà đầu tư hàng tháng</w:t>
            </w:r>
          </w:p>
        </w:tc>
      </w:tr>
    </w:tbl>
    <w:p>
      <w:pPr>
        <w:pStyle w:val="Heading2sec"/>
        <w:bidi w:val="0"/>
        <w:jc w:val="left"/>
        <w:rPr/>
      </w:pPr>
      <w:r>
        <w:rPr/>
        <w:t>13. Quản Trị &amp; Báo Cáo Nhà Đầu Tư</w:t>
      </w:r>
    </w:p>
    <w:p>
      <w:pPr>
        <w:pStyle w:val="BodyText"/>
        <w:bidi w:val="0"/>
        <w:jc w:val="left"/>
        <w:rPr/>
      </w:pPr>
      <w:r>
        <w:rPr/>
        <w:t>Dòng vốn đi qua Viet Can New Corp (Hoa Kỳ). Chúng tôi cam kết cập nhật nhà đầu tư hàng tháng (KPI: người dùng, nhà tài trợ, người đóng góp, doanh thu, runway), giải ngân theo mốc, và báo cáo tác động minh bạch tách biệt khỏi làn phi lợi nhuận.</w:t>
      </w:r>
    </w:p>
    <w:p>
      <w:pPr>
        <w:pStyle w:val="Heading2sec"/>
        <w:bidi w:val="0"/>
        <w:jc w:val="left"/>
        <w:rPr/>
      </w:pPr>
      <w:r>
        <w:rPr/>
        <w:t>14. Liên Hệ</w:t>
      </w:r>
    </w:p>
    <w:p>
      <w:pPr>
        <w:pStyle w:val="BodyText"/>
        <w:bidi w:val="0"/>
        <w:jc w:val="left"/>
        <w:rPr/>
      </w:pPr>
      <w:r>
        <w:rPr>
          <w:rStyle w:val="Strong"/>
        </w:rPr>
        <w:t>Viet Can New Corp</w:t>
      </w:r>
      <w:r>
        <w:rPr/>
        <w:br/>
        <w:t>7722 Stone Meadow Trail, Lithonia, Georgia 30058, Hoa Kỳ</w:t>
        <w:br/>
        <w:t xml:space="preserve">Email: </w:t>
      </w:r>
      <w:hyperlink r:id="rId6">
        <w:r>
          <w:rPr>
            <w:rStyle w:val="Hyperlink"/>
          </w:rPr>
          <w:t>contact@duongsaotoasang.com</w:t>
        </w:r>
      </w:hyperlink>
      <w:r>
        <w:rPr/>
        <w:t xml:space="preserve"> · Web: </w:t>
      </w:r>
      <w:hyperlink r:id="rId7">
        <w:r>
          <w:rPr>
            <w:rStyle w:val="Hyperlink"/>
          </w:rPr>
          <w:t>duongsaotoasang.com</w:t>
        </w:r>
      </w:hyperlink>
      <w:r>
        <w:rPr/>
        <w:br/>
        <w:t>Đại diện tại Việt Nam (vận hành, không pháp lý): Công ty Cổ phần Giải trí Ngôi Sao Việt Can (MST 0315462505)</w:t>
      </w:r>
    </w:p>
    <w:p>
      <w:pPr>
        <w:pStyle w:val="BodyText"/>
        <w:bidi w:val="0"/>
        <w:spacing w:before="120" w:after="0"/>
        <w:jc w:val="left"/>
        <w:rPr/>
      </w:pPr>
      <w:r>
        <w:rPr/>
        <w:t xml:space="preserve">© 2026 Viet Can New Corp · Đường Sao Tỏa Sáng (DSTS) · Confidential / Bản mật · This document is not an offer of securities / Tài liệu này không phải là chào bán chứng khoán. </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ple-system">
    <w:altName w:val="BlinkMacSystemFont"/>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pple-system;BlinkMacSystemFont;Segoe UI;Roboto;Helvetica;Arial;Noto Sans;sans-serif" w:hAnsi="apple-system;BlinkMacSystemFont;Segoe UI;Roboto;Helvetica;Arial;Noto Sans;sans-serif" w:eastAsia="apple-system;BlinkMacSystemFont;Segoe UI;Roboto;Helvetica;Arial;Noto Sans;sans-serif" w:cs="apple-system;BlinkMacSystemFont;Segoe UI;Roboto;Helvetica;Arial;Noto Sans;sans-serif"/>
      <w:color w:val="auto"/>
      <w:sz w:val="23"/>
      <w:szCs w:val="23"/>
      <w:lang w:val="vi-VN"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360" w:after="90"/>
      <w:ind w:left="360" w:right="360"/>
      <w:outlineLvl w:val="2"/>
    </w:pPr>
    <w:rPr>
      <w:rFonts w:ascii="Liberation Serif" w:hAnsi="Liberation Serif" w:eastAsia="Songti SC" w:cs="Arial Unicode MS"/>
      <w:b/>
      <w:bCs/>
      <w:sz w:val="26"/>
      <w:szCs w:val="26"/>
    </w:rPr>
  </w:style>
  <w:style w:type="paragraph" w:styleId="Heading4">
    <w:name w:val="heading 4"/>
    <w:basedOn w:val="Heading"/>
    <w:next w:val="BodyText"/>
    <w:qFormat/>
    <w:pPr>
      <w:spacing w:before="270" w:after="60"/>
      <w:ind w:left="270" w:right="270"/>
      <w:outlineLvl w:val="3"/>
    </w:pPr>
    <w:rPr>
      <w:rFonts w:ascii="Liberation Serif" w:hAnsi="Liberation Serif" w:eastAsia="Songti SC" w:cs="Arial Unicode MS"/>
      <w:b/>
      <w:bCs/>
      <w:caps/>
      <w:sz w:val="21"/>
      <w:szCs w:val="21"/>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120" w:after="120"/>
      <w:ind w:left="120" w:right="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ing2sec">
    <w:name w:val="Heading 2.sec"/>
    <w:basedOn w:val="Heading2"/>
    <w:qFormat/>
    <w:pPr>
      <w:pBdr>
        <w:top w:val="single" w:sz="18" w:space="11" w:color="000000"/>
      </w:pBdr>
      <w:spacing w:before="600" w:after="90"/>
      <w:ind w:hanging="0" w:left="600" w:right="600"/>
      <w:outlineLvl w:val="9"/>
    </w:pPr>
    <w:rPr>
      <w:sz w:val="35"/>
      <w:szCs w:val="35"/>
    </w:rPr>
  </w:style>
  <w:style w:type="paragraph" w:styleId="Heading1vi">
    <w:name w:val="Heading 1.vi"/>
    <w:basedOn w:val="Heading1"/>
    <w:qFormat/>
    <w:pPr>
      <w:ind w:hanging="0" w:left="0"/>
      <w:outlineLvl w:val="9"/>
    </w:pPr>
    <w:rPr/>
  </w:style>
  <w:style w:type="paragraph" w:styleId="Heading2vi">
    <w:name w:val="Heading 2.vi"/>
    <w:basedOn w:val="Heading2"/>
    <w:qFormat/>
    <w:pPr>
      <w:ind w:hanging="0" w:left="0"/>
      <w:outlineLvl w:val="9"/>
    </w:pPr>
    <w:rPr/>
  </w:style>
  <w:style w:type="paragraph" w:styleId="BodyTextlead">
    <w:name w:val="Body Text.lead"/>
    <w:basedOn w:val="BodyText"/>
    <w:qFormat/>
    <w:pPr/>
    <w:rPr>
      <w:sz w:val="24"/>
      <w:szCs w:val="24"/>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F2F4F8"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ontact@duongsaotoasang.com" TargetMode="External"/><Relationship Id="rId3" Type="http://schemas.openxmlformats.org/officeDocument/2006/relationships/hyperlink" Target="mailto:contact@duongsaotoasang.com" TargetMode="External"/><Relationship Id="rId4" Type="http://schemas.openxmlformats.org/officeDocument/2006/relationships/hyperlink" Target="https://duongsaotoasang.com/" TargetMode="External"/><Relationship Id="rId5" Type="http://schemas.openxmlformats.org/officeDocument/2006/relationships/hyperlink" Target="mailto:contact@duongsaotoasang.com" TargetMode="External"/><Relationship Id="rId6" Type="http://schemas.openxmlformats.org/officeDocument/2006/relationships/hyperlink" Target="mailto:contact@duongsaotoasang.com" TargetMode="External"/><Relationship Id="rId7" Type="http://schemas.openxmlformats.org/officeDocument/2006/relationships/hyperlink" Target="https://duongsaotoasang.com/"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cp:revision>0</cp:revision>
  <dc:subject/>
  <dc:title>DSTS — Investor Proposal / Hồ Sơ Kêu Gọi Đầu Tư | Viet Can New Corp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robots">
    <vt:lpwstr>noindex,nofollow</vt:lpwstr>
  </property>
  <property fmtid="{D5CDD505-2E9C-101B-9397-08002B2CF9AE}" pid="4" name="viewport">
    <vt:lpwstr>width=device-width,initial-scale=1</vt:lpwstr>
  </property>
</Properties>
</file>