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46320" cy="545211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-primary-vertical-white-3200x360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46320" cy="54521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color w:val="7A2212"/>
          <w:sz w:val="48"/>
        </w:rPr>
        <w:t>BỘ NHẬN DIỆN THƯƠNG HIỆU NGUYEN AI</w:t>
      </w:r>
    </w:p>
    <w:p>
      <w:pPr>
        <w:jc w:val="center"/>
      </w:pPr>
      <w:r>
        <w:t>Founder Lock - Arch V3.0 - 02/07/2026</w:t>
      </w:r>
    </w:p>
    <w:p>
      <w:r>
        <w:br w:type="page"/>
      </w:r>
    </w:p>
    <w:p>
      <w:pPr>
        <w:pStyle w:val="Heading1"/>
      </w:pPr>
      <w:r>
        <w:t>1. Quyết định chính thức</w:t>
      </w:r>
    </w:p>
    <w:p>
      <w:r>
        <w:t>Biểu tượng vòm ánh sáng nhiều lớp là logo chính thức của Nguyen AI. Logo này thay thế phương án vòng vô cực N + AI và toàn bộ phương án thử nghiệm trước đó.</w:t>
      </w:r>
    </w:p>
    <w:p>
      <w:pPr>
        <w:pStyle w:val="Heading1"/>
      </w:pPr>
      <w:r>
        <w:t>2. Tên thương hiệu</w:t>
      </w:r>
    </w:p>
    <w:p>
      <w:r>
        <w:t>Nguyễn AI trong tiếng Việt; Nguyen AI trong tiếng Anh; Nguyen AI Computer là tên sản phẩm; NAI là mã nhận diện nội bộ.</w:t>
      </w:r>
    </w:p>
    <w:p>
      <w:pPr>
        <w:pStyle w:val="Heading1"/>
      </w:pPr>
      <w:r>
        <w:t>3. Ý nghĩa biểu tượng</w:t>
      </w:r>
    </w:p>
    <w:p>
      <w:r>
        <w:t>Vòm nhiều lớp đại diện cho các thế hệ và các lớp công nghệ; mặt trời đại diện cho trí tuệ và khả năng khai mở; đường chân trời thể hiện hành trình từ cội nguồn đến tương lai; địa hình thể hiện nền tảng thực tế; cổng mở thể hiện khả năng tiếp cận Máy Tính AI.</w:t>
      </w:r>
    </w:p>
    <w:p>
      <w:pPr>
        <w:pStyle w:val="Heading1"/>
      </w:pPr>
      <w:r>
        <w:t>4. Quy tắc nền</w:t>
      </w:r>
    </w:p>
    <w:p>
      <w:r>
        <w:t>Logo đầy đủ màu bắt buộc đặt trên nền trắng tuyệt đối #FFFFFF. Không sử dụng nền tối, nền ảnh, chuyển màu, phát sáng, bóng đổ hoặc hiệu ứng ba chiều.</w:t>
      </w:r>
    </w:p>
    <w:p>
      <w:pPr>
        <w:pStyle w:val="Heading1"/>
      </w:pPr>
      <w:r>
        <w:t>5. Bảng màu</w:t>
      </w:r>
    </w:p>
    <w:p>
      <w:r>
        <w:t>Heritage Dark #7A2212; Heritage Red #A6260C; Burnt Orange #E55B09; Sun Orange #F48B0D; Gold #FFB810; Light Cream #FFFACC; Ink #4A1D14; White #FFFFFF.</w:t>
      </w:r>
    </w:p>
    <w:p>
      <w:pPr>
        <w:pStyle w:val="Heading1"/>
      </w:pPr>
      <w:r>
        <w:t>6. Kiểu chữ</w:t>
      </w:r>
    </w:p>
    <w:p>
      <w:r>
        <w:t>Be Vietnam Pro cho giao diện; Noto Serif cho nội dung biên tập; JetBrains Mono cho mã, bằng chứng và nhật ký.</w:t>
      </w:r>
    </w:p>
    <w:p>
      <w:pPr>
        <w:pStyle w:val="Heading1"/>
      </w:pPr>
      <w:r>
        <w:t>7. Tích hợp hệ thống</w:t>
      </w:r>
    </w:p>
    <w:p>
      <w:r>
        <w:t>nguyenai.net, app.nguyenai.net, academy.nguyenai.net và invest.nguyenai.net phải sử dụng một nguồn logo và token dùng chung.</w:t>
      </w:r>
    </w:p>
    <w:p>
      <w:pPr>
        <w:pStyle w:val="Heading1"/>
      </w:pPr>
      <w:r>
        <w:t>8. Lưu ý sản xuất</w:t>
      </w:r>
    </w:p>
    <w:p>
      <w:r>
        <w:t>Bộ PNG đã được chuẩn hóa từ mẫu Founder chọn. Cần dựng lại bản SVG vector thủ công trước khi đăng ký nhãn hiệu hoặc in khổ lớn.</w:t>
      </w:r>
    </w:p>
    <w:p>
      <w:pPr>
        <w:pStyle w:val="Heading1"/>
      </w:pPr>
      <w:r>
        <w:t>9. Danh sách tài sản bàn giao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Nhóm</w:t>
            </w:r>
          </w:p>
        </w:tc>
        <w:tc>
          <w:tcPr>
            <w:tcW w:type="dxa" w:w="4320"/>
          </w:tcPr>
          <w:p>
            <w:r>
              <w:t>Tệp</w:t>
            </w:r>
          </w:p>
        </w:tc>
      </w:tr>
      <w:tr>
        <w:tc>
          <w:tcPr>
            <w:tcW w:type="dxa" w:w="4320"/>
          </w:tcPr>
          <w:p>
            <w:r>
              <w:t>Logo</w:t>
            </w:r>
          </w:p>
        </w:tc>
        <w:tc>
          <w:tcPr>
            <w:tcW w:type="dxa" w:w="4320"/>
          </w:tcPr>
          <w:p>
            <w:r>
              <w:t>Logo mark, logo dọc, logo ngang, bản trong suốt, bản đơn sắc</w:t>
            </w:r>
          </w:p>
        </w:tc>
      </w:tr>
      <w:tr>
        <w:tc>
          <w:tcPr>
            <w:tcW w:type="dxa" w:w="4320"/>
          </w:tcPr>
          <w:p>
            <w:r>
              <w:t>Favicon</w:t>
            </w:r>
          </w:p>
        </w:tc>
        <w:tc>
          <w:tcPr>
            <w:tcW w:type="dxa" w:w="4320"/>
          </w:tcPr>
          <w:p>
            <w:r>
              <w:t>16, 32, 48, 64, 180, 192, 512, 1024 điểm ảnh; favicon.ico</w:t>
            </w:r>
          </w:p>
        </w:tc>
      </w:tr>
      <w:tr>
        <w:tc>
          <w:tcPr>
            <w:tcW w:type="dxa" w:w="4320"/>
          </w:tcPr>
          <w:p>
            <w:r>
              <w:t>Mạng xã hội</w:t>
            </w:r>
          </w:p>
        </w:tc>
        <w:tc>
          <w:tcPr>
            <w:tcW w:type="dxa" w:w="4320"/>
          </w:tcPr>
          <w:p>
            <w:r>
              <w:t>Open Graph website, Invest và Academy</w:t>
            </w:r>
          </w:p>
        </w:tc>
      </w:tr>
      <w:tr>
        <w:tc>
          <w:tcPr>
            <w:tcW w:type="dxa" w:w="4320"/>
          </w:tcPr>
          <w:p>
            <w:r>
              <w:t>Đội phát triển</w:t>
            </w:r>
          </w:p>
        </w:tc>
        <w:tc>
          <w:tcPr>
            <w:tcW w:type="dxa" w:w="4320"/>
          </w:tcPr>
          <w:p>
            <w:r>
              <w:t>colors.json, typography.json, spacing.json, brand-manifest.json, brand-tokens.css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7A2212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A6260C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7A2212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