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rimary-wh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72B5C"/>
          <w:sz w:val="48"/>
        </w:rPr>
        <w:t>BỘ NHẬN DIỆN THƯƠNG HIỆU NGUYEN AI</w:t>
      </w:r>
    </w:p>
    <w:p>
      <w:pPr>
        <w:jc w:val="center"/>
      </w:pPr>
      <w:r>
        <w:t>Founder Lock V2.0 - 02/07/2026</w:t>
      </w:r>
    </w:p>
    <w:p>
      <w:r>
        <w:br w:type="page"/>
      </w:r>
    </w:p>
    <w:p>
      <w:pPr>
        <w:pStyle w:val="Heading1"/>
      </w:pPr>
      <w:r>
        <w:t>1. Quyết định chính thức</w:t>
      </w:r>
    </w:p>
    <w:p>
      <w:r>
        <w:t>Biểu tượng vô cực N + AI là logo chính thức của Nguyen AI. Logo này thay thế toàn bộ logo và bảng màu cũ.</w:t>
      </w:r>
    </w:p>
    <w:p>
      <w:pPr>
        <w:pStyle w:val="Heading1"/>
      </w:pPr>
      <w:r>
        <w:t>2. Ý nghĩa</w:t>
      </w:r>
    </w:p>
    <w:p>
      <w:r>
        <w:t>Vòng vô cực đại diện cho trí tuệ liên tục; N đại diện cho Nguyễn; AI đại diện cho trí tuệ nhân tạo; điểm ảnh đại diện cho dữ liệu, đám mây và mở rộng số.</w:t>
      </w:r>
    </w:p>
    <w:p>
      <w:pPr>
        <w:pStyle w:val="Heading1"/>
      </w:pPr>
      <w:r>
        <w:t>3. Quy tắc nền</w:t>
      </w:r>
    </w:p>
    <w:p>
      <w:r>
        <w:t>Logo đầy đủ màu bắt buộc đặt trên nền trắng tuyệt đối #FFFFFF. Không dùng nền tối, ảnh, chuyển màu, phát sáng, bóng đổ hoặc hiệu ứng ba chiều.</w:t>
      </w:r>
    </w:p>
    <w:p>
      <w:pPr>
        <w:pStyle w:val="Heading1"/>
      </w:pPr>
      <w:r>
        <w:t>4. Tên thương hiệu</w:t>
      </w:r>
    </w:p>
    <w:p>
      <w:r>
        <w:t>Nguyễn AI trong tiếng Việt; Nguyen AI trong tiếng Anh; Nguyen AI Computer là tên sản phẩm; NAI là mã nhận diện.</w:t>
      </w:r>
    </w:p>
    <w:p>
      <w:pPr>
        <w:pStyle w:val="Heading1"/>
      </w:pPr>
      <w:r>
        <w:t>5. Bảng màu</w:t>
      </w:r>
    </w:p>
    <w:p>
      <w:r>
        <w:t>Deep Navy #072B5C; Royal Blue #0D62C6; Sky Blue #159EE4; Cyan #22BDC9; Teal #18A9AD; Ink #11233D; White #FFFFFF.</w:t>
      </w:r>
    </w:p>
    <w:p>
      <w:pPr>
        <w:pStyle w:val="Heading1"/>
      </w:pPr>
      <w:r>
        <w:t>6. Kiểu chữ</w:t>
      </w:r>
    </w:p>
    <w:p>
      <w:r>
        <w:t>Be Vietnam Pro cho giao diện; Noto Serif cho nội dung biên tập; JetBrains Mono cho mã, bằng chứng và nhật ký.</w:t>
      </w:r>
    </w:p>
    <w:p>
      <w:pPr>
        <w:pStyle w:val="Heading1"/>
      </w:pPr>
      <w:r>
        <w:t>7. Tích hợp</w:t>
      </w:r>
    </w:p>
    <w:p>
      <w:r>
        <w:t>Dùng một nguồn tài sản chung cho nguyenai.net, app, academy và invest. Không hardcode hoặc lưu logo khác nhau giữa các repository.</w:t>
      </w:r>
    </w:p>
    <w:p>
      <w:pPr>
        <w:pStyle w:val="Heading1"/>
      </w:pPr>
      <w:r>
        <w:t>8. Lưu ý sản xuất</w:t>
      </w:r>
    </w:p>
    <w:p>
      <w:r>
        <w:t>Các tệp PNG đã được chuẩn hóa từ mẫu Founder chọn. Cần dựng lại SVG vector thủ công trước đăng ký nhãn hiệu hoặc in khổ lớn.</w:t>
      </w:r>
    </w:p>
    <w:p>
      <w:pPr>
        <w:pStyle w:val="Heading1"/>
      </w:pPr>
      <w:r>
        <w:t>9. Tệp bàn giao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Nhóm</w:t>
            </w:r>
          </w:p>
        </w:tc>
        <w:tc>
          <w:tcPr>
            <w:tcW w:type="dxa" w:w="4320"/>
          </w:tcPr>
          <w:p>
            <w:r>
              <w:t>Tệp</w:t>
            </w:r>
          </w:p>
        </w:tc>
      </w:tr>
      <w:tr>
        <w:tc>
          <w:tcPr>
            <w:tcW w:type="dxa" w:w="4320"/>
          </w:tcPr>
          <w:p>
            <w:r>
              <w:t>Logo</w:t>
            </w:r>
          </w:p>
        </w:tc>
        <w:tc>
          <w:tcPr>
            <w:tcW w:type="dxa" w:w="4320"/>
          </w:tcPr>
          <w:p>
            <w:r>
              <w:t>logo-mark-transparent.png; logo-primary-white.png; horizontal; vertical; monochrome</w:t>
            </w:r>
          </w:p>
        </w:tc>
      </w:tr>
      <w:tr>
        <w:tc>
          <w:tcPr>
            <w:tcW w:type="dxa" w:w="4320"/>
          </w:tcPr>
          <w:p>
            <w:r>
              <w:t>Favicon</w:t>
            </w:r>
          </w:p>
        </w:tc>
        <w:tc>
          <w:tcPr>
            <w:tcW w:type="dxa" w:w="4320"/>
          </w:tcPr>
          <w:p>
            <w:r>
              <w:t>16, 32, 48, 64, 180, 192, 512, 1024; favicon.ico; site.webmanifest</w:t>
            </w:r>
          </w:p>
        </w:tc>
      </w:tr>
      <w:tr>
        <w:tc>
          <w:tcPr>
            <w:tcW w:type="dxa" w:w="4320"/>
          </w:tcPr>
          <w:p>
            <w:r>
              <w:t>Social</w:t>
            </w:r>
          </w:p>
        </w:tc>
        <w:tc>
          <w:tcPr>
            <w:tcW w:type="dxa" w:w="4320"/>
          </w:tcPr>
          <w:p>
            <w:r>
              <w:t>og-default.png; og-invest.png; og-academy.png</w:t>
            </w:r>
          </w:p>
        </w:tc>
      </w:tr>
      <w:tr>
        <w:tc>
          <w:tcPr>
            <w:tcW w:type="dxa" w:w="4320"/>
          </w:tcPr>
          <w:p>
            <w:r>
              <w:t>Tokens</w:t>
            </w:r>
          </w:p>
        </w:tc>
        <w:tc>
          <w:tcPr>
            <w:tcW w:type="dxa" w:w="4320"/>
          </w:tcPr>
          <w:p>
            <w:r>
              <w:t>colors.json; typography.json; spacing.json; brand-tokens.css; brand-manifest.json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72B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62C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72B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