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VETUONGLAI ECOSYSTEM</w:t>
      </w:r>
    </w:p>
    <w:p>
      <w:pPr>
        <w:pStyle w:val="Subtitle"/>
      </w:pPr>
      <w:r>
        <w:t xml:space="preserve">Investor Executive Summary — May 2026</w:t>
      </w:r>
    </w:p>
    <w:p>
      <w:pPr>
        <w:jc w:val="center"/>
      </w:pPr>
      <w:r>
        <w:rPr>
          <w:b/>
          <w:bCs/>
          <w:color w:val="C00000"/>
          <w:sz w:val="18"/>
          <w:szCs w:val="18"/>
        </w:rPr>
        <w:t xml:space="preserve">STRICTLY CONFIDENTIAL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The opportunity in one paragraph</w:t>
      </w:r>
    </w:p>
    <w:p>
      <w:r>
        <w:t xml:space="preserve">Vetuonglai ("Toward the Future") is a 16-subdomain identity-first super-app for Vietnamese-speaking users worldwide. We unify learning, work, payment, social proof and personal identity into a single Verifiable Credential (VC) ecosystem — backed by a deterministic wallet (vtl1 addresses), full-stack Cloudflare edge infrastructure, and a brand voice that competitors cannot replicate. Code is 96 percent shipped; only Founder-supplied production secrets remain. We are raising USD 3 million to ignite Vietnam-first commercial activation and lay the runway for regional expansion.</w:t>
      </w:r>
    </w:p>
    <w:p>
      <w:pPr>
        <w:pStyle w:val="Heading1"/>
      </w:pPr>
      <w:r>
        <w:t xml:space="preserve">Why now</w:t>
      </w:r>
    </w:p>
    <w:p>
      <w:pPr>
        <w:pStyle w:val="ListParagraph"/>
        <w:numPr>
          <w:ilvl w:val="0"/>
          <w:numId w:val="2"/>
        </w:numPr>
      </w:pPr>
      <w:r>
        <w:t xml:space="preserve">Vietnam has 77 million internet users and 70 million smartphone users; mobile payment adoption grew 158 percent in 2024.</w:t>
      </w:r>
    </w:p>
    <w:p>
      <w:pPr>
        <w:pStyle w:val="ListParagraph"/>
        <w:numPr>
          <w:ilvl w:val="0"/>
          <w:numId w:val="2"/>
        </w:numPr>
      </w:pPr>
      <w:r>
        <w:t xml:space="preserve">EdTech in Vietnam will exceed USD 3 billion by 2027 (Statista). Fintech will exceed USD 18 billion by 2025.</w:t>
      </w:r>
    </w:p>
    <w:p>
      <w:pPr>
        <w:pStyle w:val="ListParagraph"/>
        <w:numPr>
          <w:ilvl w:val="0"/>
          <w:numId w:val="2"/>
        </w:numPr>
      </w:pPr>
      <w:r>
        <w:t xml:space="preserve">Five million Vietnamese diaspora users abroad are underserved by Vietnamese-language identity and value-of-work products.</w:t>
      </w:r>
    </w:p>
    <w:p>
      <w:pPr>
        <w:pStyle w:val="ListParagraph"/>
        <w:numPr>
          <w:ilvl w:val="0"/>
          <w:numId w:val="2"/>
        </w:numPr>
      </w:pPr>
      <w:r>
        <w:t xml:space="preserve">Verifiable Credentials standards (W3C VC + DIDs) are entering mainstream adoption; Vetuonglai is the first Vietnamese-native VC platform with shipped code.</w:t>
      </w:r>
    </w:p>
    <w:p>
      <w:pPr>
        <w:pStyle w:val="Heading1"/>
      </w:pPr>
      <w:r>
        <w:t xml:space="preserve">What we have built (production 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160"/>
      </w:tblGrid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Production proof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 deployed Cloudflare Workers (16 domains live)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LIVE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Versions 8d6d938f to aeaffe27 on 2026-05-21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Wallet runtime — 11 endpoints, vtl1 Bech32 addresses, KV ledger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LIVE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vetuonglai.com/api/wallet/health → "storage_mode":"kv"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Transactional email pipeline — 26 templates, mail.iai.one delivery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LIVE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/api/notify/health → "delivery":"mail_iai_one_active"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Identity verification (Verifiable Credentials runtime)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LIVE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/api/vc/* endpoints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 + Jobs marketplace + Affiliate tracking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LIVE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CRUD + escrow integration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Payment webhooks (Stripe + PayPal + PAY IAI ONE)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Code complete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 secrets pending Founder action only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Tutor (Anthropic Claude integration)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Code ready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key pending Founder action</w:t>
            </w:r>
          </w:p>
        </w:tc>
      </w:tr>
    </w:tbl>
    <w:p>
      <w:pPr>
        <w:pStyle w:val="Heading1"/>
      </w:pPr>
      <w:r>
        <w:t xml:space="preserve">Financial trajectory (USD millions)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700"/>
        <w:gridCol w:w="22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Gross margin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Paid members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Valuation (low → high)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 (Y1, Vietnam-only)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72%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12,000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 → 14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2027 (Y2, VN scale + diaspora)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76%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55,000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 → 50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2028 (Y3, SE Asia)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14.5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78%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220,000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85 → 130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2029 (Y4, English market)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42.0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620,000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210 → 320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2030 (Y5, global B2B + B2C)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98.0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81%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1,650,000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490 → 740</w:t>
            </w:r>
          </w:p>
        </w:tc>
      </w:tr>
    </w:tbl>
    <w:p>
      <w:pPr>
        <w:pStyle w:val="Heading1"/>
      </w:pPr>
      <w:r>
        <w:t xml:space="preserve">Use of funds (USD 3M raise)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Talent (40%)</w:t>
      </w:r>
      <w:r>
        <w:t xml:space="preserve">: USD 1.2M — full-stack engineers, security review, AI/ML, design, 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acquisition (30%)</w:t>
      </w:r>
      <w:r>
        <w:t xml:space="preserve">: USD 0.9M — performance marketing, partnership pilots,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&amp; licensing (15%)</w:t>
      </w:r>
      <w:r>
        <w:t xml:space="preserve">: USD 0.45M — KYC provider, fintech license, legal in 4 jurisdictions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&amp; security (10%)</w:t>
      </w:r>
      <w:r>
        <w:t xml:space="preserve">: USD 0.3M — Cloudflare, monitoring, pen-test, SOC2 prep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Working capital (5%)</w:t>
      </w:r>
      <w:r>
        <w:t xml:space="preserve">: USD 0.15M — buffer for fluctuation</w:t>
      </w:r>
    </w:p>
    <w:p>
      <w:pPr>
        <w:pStyle w:val="Heading1"/>
      </w:pPr>
      <w:r>
        <w:t xml:space="preserve">Why this team can win</w:t>
      </w:r>
    </w:p>
    <w:p>
      <w:pPr>
        <w:pStyle w:val="ListParagraph"/>
        <w:numPr>
          <w:ilvl w:val="0"/>
          <w:numId w:val="2"/>
        </w:numPr>
      </w:pPr>
      <w:r>
        <w:t xml:space="preserve">Founder shipped 96% of code with limited team — execution velocity is the strongest indicator of capital efficiency</w:t>
      </w:r>
    </w:p>
    <w:p>
      <w:pPr>
        <w:pStyle w:val="ListParagraph"/>
        <w:numPr>
          <w:ilvl w:val="0"/>
          <w:numId w:val="2"/>
        </w:numPr>
      </w:pPr>
      <w:r>
        <w:t xml:space="preserve">Architecture choice (Cloudflare edge + KV) keeps infrastructure cost under 4% of revenue — most competitors are at 15-25%</w:t>
      </w:r>
    </w:p>
    <w:p>
      <w:pPr>
        <w:pStyle w:val="ListParagraph"/>
        <w:numPr>
          <w:ilvl w:val="0"/>
          <w:numId w:val="2"/>
        </w:numPr>
      </w:pPr>
      <w:r>
        <w:t xml:space="preserve">Brand voice strictly forbids "get-rich-quick" patterns — long-term trust mode that is hard to clone after the fact</w:t>
      </w:r>
    </w:p>
    <w:p>
      <w:pPr>
        <w:pStyle w:val="ListParagraph"/>
        <w:numPr>
          <w:ilvl w:val="0"/>
          <w:numId w:val="2"/>
        </w:numPr>
      </w:pPr>
      <w:r>
        <w:t xml:space="preserve">Bilingual (Vietnamese + English) from day 1 — no expensive retrofit when entering English markets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Term sheet review (within 14 days)</w:t>
      </w:r>
    </w:p>
    <w:p>
      <w:pPr>
        <w:pStyle w:val="ListParagraph"/>
        <w:numPr>
          <w:ilvl w:val="0"/>
          <w:numId w:val="3"/>
        </w:numPr>
      </w:pPr>
      <w:r>
        <w:t xml:space="preserve">Technical due diligence — code repository walkthrough, infrastructure cost ledger, smoke test logs</w:t>
      </w:r>
    </w:p>
    <w:p>
      <w:pPr>
        <w:pStyle w:val="ListParagraph"/>
        <w:numPr>
          <w:ilvl w:val="0"/>
          <w:numId w:val="3"/>
        </w:numPr>
      </w:pPr>
      <w:r>
        <w:t xml:space="preserve">Customer reference calls — pilot users, partner agencies, early B2B integrations</w:t>
      </w:r>
    </w:p>
    <w:p>
      <w:pPr>
        <w:pStyle w:val="ListParagraph"/>
        <w:numPr>
          <w:ilvl w:val="0"/>
          <w:numId w:val="3"/>
        </w:numPr>
      </w:pPr>
      <w:r>
        <w:t xml:space="preserve">Founder Q&amp;A + roadmap deep-dive (90 minutes)</w:t>
      </w:r>
    </w:p>
    <w:p>
      <w:pPr>
        <w:pStyle w:val="ListParagraph"/>
        <w:numPr>
          <w:ilvl w:val="0"/>
          <w:numId w:val="3"/>
        </w:numPr>
      </w:pPr>
      <w:r>
        <w:t xml:space="preserve">Final commitment + closing</w:t>
      </w:r>
    </w:p>
    <w:p>
      <w:r>
        <w:t xml:space="preserve"/>
      </w:r>
    </w:p>
    <w:p>
      <w:r>
        <w:t xml:space="preserve"/>
      </w:r>
    </w:p>
    <w:p>
      <w:r>
        <w:rPr>
          <w:i/>
          <w:iCs/>
          <w:color w:val="555555"/>
        </w:rPr>
        <w:t xml:space="preserve">For questions or to schedule the founder Q&amp;A:</w:t>
      </w:r>
    </w:p>
    <w:p>
      <w:r>
        <w:rPr>
          <w:b/>
          <w:bCs/>
          <w:color w:val="1E2761"/>
        </w:rPr>
        <w:t xml:space="preserve">invest@vetuonglai.com  ·  https://vetuonglai.com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Executive Summary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E2761"/>
        <w:sz w:val="18"/>
        <w:szCs w:val="18"/>
      </w:rPr>
      <w:t xml:space="preserve">VETUONGLAI.COM</w:t>
    </w:r>
    <w:r>
      <w:rPr>
        <w:color w:val="666666"/>
        <w:sz w:val="18"/>
        <w:szCs w:val="18"/>
      </w:rPr>
      <w:t xml:space="preserve">	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E2761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600" w:before="0"/>
      <w:jc w:val="center"/>
    </w:pPr>
    <w:rPr>
      <w:rFonts w:ascii="Arial" w:cs="Arial" w:eastAsia="Arial" w:hAnsi="Arial"/>
      <w:i/>
      <w:iCs/>
      <w:color w:val="555555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2026-05-22T10:50:24.713Z</dcterms:created>
  <dcterms:modified xsi:type="dcterms:W3CDTF">2026-05-22T10:50:24.720Z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