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 ANALYSIS &amp; GROWTH POTENTIAL</w:t>
      </w:r>
    </w:p>
    <w:p>
      <w:pPr>
        <w:pStyle w:val="Subtitle"/>
      </w:pPr>
      <w:r>
        <w:t xml:space="preserve">Vietnam, Diaspora, Southeast Asia, and Global Expansion</w:t>
      </w:r>
    </w:p>
    <w:p>
      <w:pPr>
        <w:jc w:val="center"/>
      </w:pPr>
      <w:r>
        <w:t xml:space="preserve">May 2026</w:t>
      </w:r>
    </w:p>
    <w:p>
      <w:r>
        <w:br w:type="page"/>
      </w:r>
    </w:p>
    <w:p>
      <w:pPr>
        <w:pStyle w:val="Heading1"/>
      </w:pPr>
      <w:r>
        <w:t xml:space="preserve">Executive overview</w:t>
      </w:r>
    </w:p>
    <w:p>
      <w:r>
        <w:t xml:space="preserve">Vetuonglai serves a Vietnamese-speaking total addressable market (TAM) of approximately 105 million people: 100 million in Vietnam, plus 5.3 million diaspora. Of these, an estimated 77 million are internet users and 70 million are smartphone users. The platform's secondary expansion target — Southeast Asia broadly — opens an additional 650 million people, while the tertiary global English-language market exceeds 1.5 billion.</w:t>
      </w:r>
    </w:p>
    <w:p>
      <w:pPr>
        <w:pStyle w:val="Heading1"/>
      </w:pPr>
      <w:r>
        <w:t xml:space="preserve">1. Vietnam — Year 1 to Year 2</w:t>
      </w:r>
    </w:p>
    <w:p>
      <w:pPr>
        <w:pStyle w:val="Heading2"/>
      </w:pPr>
      <w:r>
        <w:t xml:space="preserve">1.1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2026 size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Internet users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77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DataReportal Digital 2025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Smartphone users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DataReportal Digital 2025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E-commerce buyers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55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Vietnam e-Commerce Report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Digital learning users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EdTech Vietnam 2024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 users (existing)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44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Bank of Vietnam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Freelance workers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12.5 million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ILO Vietnam Labor Survey 2024</w:t>
            </w:r>
          </w:p>
        </w:tc>
      </w:tr>
    </w:tbl>
    <w:p>
      <w:pPr>
        <w:pStyle w:val="Heading2"/>
      </w:pPr>
      <w:r>
        <w:t xml:space="preserve">1.2 Target customer segments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worker</w:t>
      </w:r>
      <w:r>
        <w:t xml:space="preserve">: Age 22-45, urban, smartphone-first. ~14M people. ARPU target: USD 99/year + add-ons.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Independent professional</w:t>
      </w:r>
      <w:r>
        <w:t xml:space="preserve">: Freelancers and small business owners needing identity verification + payment rails. ~3M people. ARPU target: USD 200/year + transaction fees.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</w:t>
      </w:r>
      <w:r>
        <w:t xml:space="preserve">: University or vocational, looking for verifiable credentials. ~4.5M people. ARPU target: USD 25/year (subsidized).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Diaspora professional</w:t>
      </w:r>
      <w:r>
        <w:t xml:space="preserve">: Vietnamese-speaking professionals abroad needing trusted ties to Vietnam. ~1M reachable. ARPU target: USD 150/year.</w:t>
      </w:r>
    </w:p>
    <w:p>
      <w:pPr>
        <w:pStyle w:val="Heading2"/>
      </w:pPr>
      <w:r>
        <w:t xml:space="preserve">1.3 Competition snapshot — Vietnam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Lane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Major incumbents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Our differentiation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Edu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FUNiX, Topica, Coursera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Integrated wallet payout + VC credentials + Vietnamese-first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Wallet/Pay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MoMo, ZaloPay, VNPay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Identity-first ledger, deterministic addresses, multi-purpose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TopCV, VietnamWorks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Escrow + verifiable work history + payout in same flow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Facebook Groups, Zalo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Verified members, moderation, no advertising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Identity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Traditional KYC vendors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W3C VC standard, portable, user-owned</w:t>
            </w:r>
          </w:p>
        </w:tc>
      </w:tr>
    </w:tbl>
    <w:p>
      <w:pPr>
        <w:pStyle w:val="Heading1"/>
      </w:pPr>
      <w:r>
        <w:t xml:space="preserve">2. Regional expansion — Year 3 (Southeast Asia)</w:t>
      </w:r>
    </w:p>
    <w:p>
      <w:pPr>
        <w:pStyle w:val="Heading2"/>
      </w:pPr>
      <w:r>
        <w:t xml:space="preserve">2.1 Target markets</w:t>
      </w:r>
    </w:p>
    <w:p>
      <w:pPr>
        <w:pStyle w:val="ListParagraph"/>
        <w:numPr>
          <w:ilvl w:val="0"/>
          <w:numId w:val="2"/>
        </w:numPr>
      </w:pPr>
      <w:r>
        <w:t xml:space="preserve">Thailand: 71M, internet penetration 88%, fintech-friendly regulatory</w:t>
      </w:r>
    </w:p>
    <w:p>
      <w:pPr>
        <w:pStyle w:val="ListParagraph"/>
        <w:numPr>
          <w:ilvl w:val="0"/>
          <w:numId w:val="2"/>
        </w:numPr>
      </w:pPr>
      <w:r>
        <w:t xml:space="preserve">Indonesia: 277M, world's 4th largest population, mobile-first</w:t>
      </w:r>
    </w:p>
    <w:p>
      <w:pPr>
        <w:pStyle w:val="ListParagraph"/>
        <w:numPr>
          <w:ilvl w:val="0"/>
          <w:numId w:val="2"/>
        </w:numPr>
      </w:pPr>
      <w:r>
        <w:t xml:space="preserve">Philippines: 117M, English-comfortable, large overseas workforce sending remittances</w:t>
      </w:r>
    </w:p>
    <w:p>
      <w:pPr>
        <w:pStyle w:val="ListParagraph"/>
        <w:numPr>
          <w:ilvl w:val="0"/>
          <w:numId w:val="2"/>
        </w:numPr>
      </w:pPr>
      <w:r>
        <w:t xml:space="preserve">Malaysia: 34M, multilingual, high digital banking adoption</w:t>
      </w:r>
    </w:p>
    <w:p>
      <w:pPr>
        <w:pStyle w:val="Heading2"/>
      </w:pPr>
      <w:r>
        <w:t xml:space="preserve">2.2 Entry strategy</w:t>
      </w:r>
    </w:p>
    <w:p>
      <w:r>
        <w:t xml:space="preserve">Direct port of the existing platform with localization layer. Cloudflare edge already operates in all SEA hubs. Localization plan: language packs added without code rewrite (i18n framework is in place from day 1). Identity verification: integrate with regional KYC providers. Payment: add local rails (PayMaya, GCash, GoPay, GrabPay, Touch'n Go).</w:t>
      </w:r>
    </w:p>
    <w:p>
      <w:pPr>
        <w:pStyle w:val="Heading2"/>
      </w:pPr>
      <w:r>
        <w:t xml:space="preserve">2.3 Customer assumptions — SEA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Beachhead persona</w:t>
      </w:r>
      <w:r>
        <w:t xml:space="preserve">: Vietnamese diaspora in SEA (~1.5M reachable) — same language, same brand, leverages existing trust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Adjacent persona</w:t>
      </w:r>
      <w:r>
        <w:t xml:space="preserve">: ASEAN knowledge worker seeking VC credentials — 20M reachable, USD 49/year entry price</w:t>
      </w:r>
    </w:p>
    <w:p>
      <w:pPr>
        <w:pStyle w:val="Heading1"/>
      </w:pPr>
      <w:r>
        <w:t xml:space="preserve">3. Global expansion — Year 4-5 (English market)</w:t>
      </w:r>
    </w:p>
    <w:p>
      <w:pPr>
        <w:pStyle w:val="Heading2"/>
      </w:pPr>
      <w:r>
        <w:t xml:space="preserve">3.1 Opportunity</w:t>
      </w:r>
    </w:p>
    <w:p>
      <w:r>
        <w:t xml:space="preserve">By 2029, the Verifiable Credentials market is projected to exceed USD 8.6 billion globally (MarketsandMarkets). Vetuonglai will have 3 years of production VC issuance experience by then — meaningful moat against new entrants.</w:t>
      </w:r>
    </w:p>
    <w:p>
      <w:pPr>
        <w:pStyle w:val="Heading2"/>
      </w:pPr>
      <w:r>
        <w:t xml:space="preserve">3.2 Go-to-market</w:t>
      </w:r>
    </w:p>
    <w:p>
      <w:pPr>
        <w:pStyle w:val="ListParagraph"/>
        <w:numPr>
          <w:ilvl w:val="0"/>
          <w:numId w:val="2"/>
        </w:numPr>
      </w:pPr>
      <w:r>
        <w:t xml:space="preserve">English-language launch already supported (bilingual from day 1)</w:t>
      </w:r>
    </w:p>
    <w:p>
      <w:pPr>
        <w:pStyle w:val="ListParagraph"/>
        <w:numPr>
          <w:ilvl w:val="0"/>
          <w:numId w:val="2"/>
        </w:numPr>
      </w:pPr>
      <w:r>
        <w:t xml:space="preserve">Beachhead: English-speaking knowledge workers seeking portable credentials</w:t>
      </w:r>
    </w:p>
    <w:p>
      <w:pPr>
        <w:pStyle w:val="ListParagraph"/>
        <w:numPr>
          <w:ilvl w:val="0"/>
          <w:numId w:val="2"/>
        </w:numPr>
      </w:pPr>
      <w:r>
        <w:t xml:space="preserve">B2B SaaS revenue: identity verification API and VC issuer licensing</w:t>
      </w:r>
    </w:p>
    <w:p>
      <w:pPr>
        <w:pStyle w:val="ListParagraph"/>
        <w:numPr>
          <w:ilvl w:val="0"/>
          <w:numId w:val="2"/>
        </w:numPr>
      </w:pPr>
      <w:r>
        <w:t xml:space="preserve">Pricing: USD 149/year retail, USD 5K-25K/year B2B</w:t>
      </w:r>
    </w:p>
    <w:p>
      <w:pPr>
        <w:pStyle w:val="Heading1"/>
      </w:pPr>
      <w:r>
        <w:t xml:space="preserve">4. Macro tailwinds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identity mandate</w:t>
      </w:r>
      <w:r>
        <w:t xml:space="preserve">: Vietnam's National Digital Transformation Program (Resolution 749/QĐ-TTg) explicitly requires verifiable digital identity for citizens by 2030.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W3C Verifiable Credentials adoption</w:t>
      </w:r>
      <w:r>
        <w:t xml:space="preserve">: Microsoft, Workday, Mastercard launched VC-compatible products in 2024-2025.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integration</w:t>
      </w:r>
      <w:r>
        <w:t xml:space="preserve">: Generative AI tutoring drops cost of skill verification by ~70%.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Cross-border worker mobility</w:t>
      </w:r>
      <w:r>
        <w:t xml:space="preserve">: Remittances to Vietnam exceed USD 19 billion/year; verified identity reduces friction.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Distrust in traditional credentialing</w:t>
      </w:r>
      <w:r>
        <w:t xml:space="preserve">: Educational fraud incidents up 145% globally 2020-2024.</w:t>
      </w:r>
    </w:p>
    <w:p>
      <w:pPr>
        <w:pStyle w:val="Heading1"/>
      </w:pPr>
      <w:r>
        <w:t xml:space="preserve">5. Growth model assumptions</w:t>
      </w:r>
    </w:p>
    <w:p>
      <w:r>
        <w:t xml:space="preserve">All projections in the financial model use conservative assumptions calibrated against published rates for emerging-market SaaS:</w:t>
      </w:r>
    </w:p>
    <w:p>
      <w:pPr>
        <w:pStyle w:val="ListParagraph"/>
        <w:numPr>
          <w:ilvl w:val="0"/>
          <w:numId w:val="2"/>
        </w:numPr>
      </w:pPr>
      <w:r>
        <w:t xml:space="preserve">Year-over-year paid member growth: 4.5x → 4.0x → 2.8x → 2.7x (declining as base scales)</w:t>
      </w:r>
    </w:p>
    <w:p>
      <w:pPr>
        <w:pStyle w:val="ListParagraph"/>
        <w:numPr>
          <w:ilvl w:val="0"/>
          <w:numId w:val="2"/>
        </w:numPr>
      </w:pPr>
      <w:r>
        <w:t xml:space="preserve">Free-to-paid conversion: 5% Y1, ramping to 12% Y5</w:t>
      </w:r>
    </w:p>
    <w:p>
      <w:pPr>
        <w:pStyle w:val="ListParagraph"/>
        <w:numPr>
          <w:ilvl w:val="0"/>
          <w:numId w:val="2"/>
        </w:numPr>
      </w:pPr>
      <w:r>
        <w:t xml:space="preserve">Annual churn: 18% Y1, declining to 9% Y5 as product matures</w:t>
      </w:r>
    </w:p>
    <w:p>
      <w:pPr>
        <w:pStyle w:val="ListParagraph"/>
        <w:numPr>
          <w:ilvl w:val="0"/>
          <w:numId w:val="2"/>
        </w:numPr>
      </w:pPr>
      <w:r>
        <w:t xml:space="preserve">ARPU growth: 5%/year through pricing power and add-on adoption</w:t>
      </w:r>
    </w:p>
    <w:p>
      <w:pPr>
        <w:pStyle w:val="ListParagraph"/>
        <w:numPr>
          <w:ilvl w:val="0"/>
          <w:numId w:val="2"/>
        </w:numPr>
      </w:pPr>
      <w:r>
        <w:t xml:space="preserve">Gross margin: starts at 72%, ramps to 81% (edge infrastructure scales sublinearly)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Market Analysis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VETUONGLAI.COM</w:t>
    </w:r>
    <w:r>
      <w:rPr>
        <w:color w:val="666666"/>
        <w:sz w:val="18"/>
        <w:szCs w:val="18"/>
      </w:rPr>
      <w:t xml:space="preserve">	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E2761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600" w:before="0"/>
      <w:jc w:val="center"/>
    </w:pPr>
    <w:rPr>
      <w:rFonts w:ascii="Arial" w:cs="Arial" w:eastAsia="Arial" w:hAnsi="Arial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2026-05-22T10:50:24.851Z</dcterms:created>
  <dcterms:modified xsi:type="dcterms:W3CDTF">2026-05-22T10:50:24.851Z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