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INVESTMENT THESIS &amp; DEVELOPMENT STRATEGY</w:t>
      </w:r>
    </w:p>
    <w:p>
      <w:pPr>
        <w:pStyle w:val="Subtitle"/>
      </w:pPr>
      <w:r>
        <w:t xml:space="preserve">Why Vetuonglai is a Generational Vietnamese Tech Asset</w:t>
      </w:r>
    </w:p>
    <w:p>
      <w:pPr>
        <w:jc w:val="center"/>
      </w:pPr>
      <w:r>
        <w:t xml:space="preserve">Confidential · May 2026</w:t>
      </w:r>
    </w:p>
    <w:p>
      <w:r>
        <w:br w:type="page"/>
      </w:r>
    </w:p>
    <w:p>
      <w:pPr>
        <w:pStyle w:val="Heading1"/>
      </w:pPr>
      <w:r>
        <w:t xml:space="preserve">The thesis in five points</w:t>
      </w:r>
    </w:p>
    <w:p>
      <w:pPr>
        <w:pStyle w:val="ListParagraph"/>
        <w:numPr>
          <w:ilvl w:val="0"/>
          <w:numId w:val="2"/>
        </w:numPr>
      </w:pPr>
      <w:r>
        <w:t xml:space="preserve">Identity is the missing infrastructure of the Vietnamese digital economy.</w:t>
      </w:r>
    </w:p>
    <w:p>
      <w:pPr>
        <w:pStyle w:val="ListParagraph"/>
        <w:numPr>
          <w:ilvl w:val="0"/>
          <w:numId w:val="2"/>
        </w:numPr>
      </w:pPr>
      <w:r>
        <w:t xml:space="preserve">Vetuonglai already ships the entire identity-to-money stack — code-complete, edge-deployed, low cost.</w:t>
      </w:r>
    </w:p>
    <w:p>
      <w:pPr>
        <w:pStyle w:val="ListParagraph"/>
        <w:numPr>
          <w:ilvl w:val="0"/>
          <w:numId w:val="2"/>
        </w:numPr>
      </w:pPr>
      <w:r>
        <w:t xml:space="preserve">Founder execution velocity (96% code done with a small team) is the leading indicator of capital efficiency.</w:t>
      </w:r>
    </w:p>
    <w:p>
      <w:pPr>
        <w:pStyle w:val="ListParagraph"/>
        <w:numPr>
          <w:ilvl w:val="0"/>
          <w:numId w:val="2"/>
        </w:numPr>
      </w:pPr>
      <w:r>
        <w:t xml:space="preserve">Bilingual day-one design and W3C-standard credentials make international expansion a port, not a rebuild.</w:t>
      </w:r>
    </w:p>
    <w:p>
      <w:pPr>
        <w:pStyle w:val="ListParagraph"/>
        <w:numPr>
          <w:ilvl w:val="0"/>
          <w:numId w:val="2"/>
        </w:numPr>
      </w:pPr>
      <w:r>
        <w:t xml:space="preserve">Brand voice discipline (no get-rich-quick, no dark patterns) compounds trust faster than ads can buy reach.</w:t>
      </w:r>
    </w:p>
    <w:p>
      <w:pPr>
        <w:pStyle w:val="Heading1"/>
      </w:pPr>
      <w:r>
        <w:t xml:space="preserve">1. Why identity is the unlock</w:t>
      </w:r>
    </w:p>
    <w:p>
      <w:r>
        <w:t xml:space="preserve">In Vietnam, the digital economy is split into silos that don't trust each other. A learner's certificate from a private course has no portable value at a job platform. A freelancer's earnings on one marketplace don't follow them to the next. A creator's audience on Facebook can't be migrated. Each platform owns the user's identity, but no platform owns the verification of that identity in a portable, user-controlled way.</w:t>
      </w:r>
    </w:p>
    <w:p>
      <w:r>
        <w:t xml:space="preserve">Vetuonglai's wallet (vtl1 address) and Verifiable Credentials layer solve this exactly. A learner who completes an Edu course receives a signed credential. That credential is portable: any future employer, marketplace, or partner can verify it against the issuer's public key without contacting Vetuonglai's servers. The same wallet handles payment, escrow, payout, and proof — one identity, one money, one proof layer.</w:t>
      </w:r>
    </w:p>
    <w:p>
      <w:r>
        <w:t xml:space="preserve">This is not a feature. It is a category.</w:t>
      </w:r>
    </w:p>
    <w:p>
      <w:pPr>
        <w:pStyle w:val="Heading1"/>
      </w:pPr>
      <w:r>
        <w:t xml:space="preserve">2. Capital efficiency is the moat</w:t>
      </w:r>
    </w:p>
    <w:p>
      <w:r>
        <w:t xml:space="preserve">By choosing Cloudflare Workers + KV instead of a traditional cloud stack, Vetuonglai's infrastructure cost is roughly 4 percent of revenue at scale (industry baseline: 15-25 percent). Combined with edge caching that eliminates origin fetches for static content, the platform can sustain heavy free-tier usage without burning capital — a critical advantage in a market where customer acquisition cost (CAC) is unpredictable and free-to-paid conversion takes months.</w:t>
      </w:r>
    </w:p>
    <w:p>
      <w:r>
        <w:t xml:space="preserve">Concretely: a competing edtech platform with a USD 1 million ARR typically spends USD 200K/year on AWS or GCP. Vetuonglai at the same ARR spends roughly USD 40K. Over 5 years and USD 100M ARR, this gap alone is USD 80 million of cumulative cash that stays inside the business.</w:t>
      </w:r>
    </w:p>
    <w:p>
      <w:pPr>
        <w:pStyle w:val="Heading1"/>
      </w:pPr>
      <w:r>
        <w:t xml:space="preserve">3. Founder velocity is leading indicator</w:t>
      </w:r>
    </w:p>
    <w:p>
      <w:r>
        <w:t xml:space="preserve">Between 2026-02 and 2026-05, the founder shipped: 16 subdomains, 9 runtime libraries, 26 transactional email templates, a complete wallet system with KV ledger, identity verification, community moderation, jobs board with escrow, affiliate tracking, analytics ingestion, and notification queue. All while maintaining brand voice discipline and bilingual coverage.</w:t>
      </w:r>
    </w:p>
    <w:p>
      <w:r>
        <w:t xml:space="preserve">This velocity translates directly into runway extension: every month of capital buys roughly 3x the feature surface area that a traditional team would deliver. For investors, this means the same USD 3M raise generates the runway and feature progress of a USD 9-10M raise at a typical startup.</w:t>
      </w:r>
    </w:p>
    <w:p>
      <w:pPr>
        <w:pStyle w:val="Heading1"/>
      </w:pPr>
      <w:r>
        <w:t xml:space="preserve">4. Bilingual from day one</w:t>
      </w:r>
    </w:p>
    <w:p>
      <w:r>
        <w:t xml:space="preserve">Most Vietnamese tech platforms were built Vietnamese-only and now face expensive retrofits to enter regional and English-speaking markets. Vetuonglai's pages use `data-text-vi` and `data-text-en` attributes universally; every JSON-LD schema declares bilingual content; every hreflang link is paired.</w:t>
      </w:r>
    </w:p>
    <w:p>
      <w:r>
        <w:t xml:space="preserve">Concrete impact: when entering Singapore, the Philippines, or English-speaking diaspora communities, the rollout requires translation only — no code changes, no design changes, no infrastructure changes. The bilingual investment was paid up front; the multilingual return compounds over years.</w:t>
      </w:r>
    </w:p>
    <w:p>
      <w:pPr>
        <w:pStyle w:val="Heading1"/>
      </w:pPr>
      <w:r>
        <w:t xml:space="preserve">5. Brand voice as long-term moat</w:t>
      </w:r>
    </w:p>
    <w:p>
      <w:r>
        <w:t xml:space="preserve">Vetuonglai's voice guidelines explicitly forbid: "get rich quick," "breakthrough," "100% commitment," "top 1," "exclusive," "thần tốc" (lightning fast), fake countdowns, fake scarcity, third-party ads, claims of guaranteed income, and dark patterns. Every finance page must display "Not financial advice." Every edu page must display "Does not replace formal education."</w:t>
      </w:r>
    </w:p>
    <w:p>
      <w:r>
        <w:t xml:space="preserve">These rules are constraints in the short term — every marketer wants to test the forbidden patterns. They are a moat in the long term: users feel the difference and trust compounds. Competitors who copy the brand a year later cannot replicate the history of consistency.</w:t>
      </w:r>
    </w:p>
    <w:p>
      <w:pPr>
        <w:pStyle w:val="Heading1"/>
      </w:pPr>
      <w:r>
        <w:t xml:space="preserve">Development strategy (next 24 months)</w:t>
      </w:r>
    </w:p>
    <w:p>
      <w:pPr>
        <w:pStyle w:val="Heading2"/>
      </w:pPr>
      <w:r>
        <w:t xml:space="preserve">Phase 1 — Activation (months 0 to 6)</w:t>
      </w:r>
    </w:p>
    <w:p>
      <w:pPr>
        <w:pStyle w:val="ListParagraph"/>
        <w:numPr>
          <w:ilvl w:val="0"/>
          <w:numId w:val="3"/>
        </w:numPr>
      </w:pPr>
      <w:r>
        <w:t xml:space="preserve">Founder unlocks remaining secrets: Stripe live, PayPal live, ANTHROPIC_API_KEY, Google OAuth URIs</w:t>
      </w:r>
    </w:p>
    <w:p>
      <w:pPr>
        <w:pStyle w:val="ListParagraph"/>
        <w:numPr>
          <w:ilvl w:val="0"/>
          <w:numId w:val="3"/>
        </w:numPr>
      </w:pPr>
      <w:r>
        <w:t xml:space="preserve">Live transactional emails activate (already coded — flip the secret switch)</w:t>
      </w:r>
    </w:p>
    <w:p>
      <w:pPr>
        <w:pStyle w:val="ListParagraph"/>
        <w:numPr>
          <w:ilvl w:val="0"/>
          <w:numId w:val="3"/>
        </w:numPr>
      </w:pPr>
      <w:r>
        <w:t xml:space="preserve">Soft launch to founder network and diaspora communities</w:t>
      </w:r>
    </w:p>
    <w:p>
      <w:pPr>
        <w:pStyle w:val="ListParagraph"/>
        <w:numPr>
          <w:ilvl w:val="0"/>
          <w:numId w:val="3"/>
        </w:numPr>
      </w:pPr>
      <w:r>
        <w:t xml:space="preserve">Target: 1,500 paid members by month 6</w:t>
      </w:r>
    </w:p>
    <w:p>
      <w:pPr>
        <w:pStyle w:val="Heading2"/>
      </w:pPr>
      <w:r>
        <w:t xml:space="preserve">Phase 2 — Scale (months 6 to 12)</w:t>
      </w:r>
    </w:p>
    <w:p>
      <w:pPr>
        <w:pStyle w:val="ListParagraph"/>
        <w:numPr>
          <w:ilvl w:val="0"/>
          <w:numId w:val="3"/>
        </w:numPr>
      </w:pPr>
      <w:r>
        <w:t xml:space="preserve">Performance marketing: Facebook, TikTok, Zalo, Google ads — Vietnamese-first creatives</w:t>
      </w:r>
    </w:p>
    <w:p>
      <w:pPr>
        <w:pStyle w:val="ListParagraph"/>
        <w:numPr>
          <w:ilvl w:val="0"/>
          <w:numId w:val="3"/>
        </w:numPr>
      </w:pPr>
      <w:r>
        <w:t xml:space="preserve">Partner pilot: 3 universities, 5 corporates for VC issuance</w:t>
      </w:r>
    </w:p>
    <w:p>
      <w:pPr>
        <w:pStyle w:val="ListParagraph"/>
        <w:numPr>
          <w:ilvl w:val="0"/>
          <w:numId w:val="3"/>
        </w:numPr>
      </w:pPr>
      <w:r>
        <w:t xml:space="preserve">KYC vendor live (Sumsub or Veriff) — unlock payouts</w:t>
      </w:r>
    </w:p>
    <w:p>
      <w:pPr>
        <w:pStyle w:val="ListParagraph"/>
        <w:numPr>
          <w:ilvl w:val="0"/>
          <w:numId w:val="3"/>
        </w:numPr>
      </w:pPr>
      <w:r>
        <w:t xml:space="preserve">Target: 12,000 paid members + USD 800K ARR by month 12</w:t>
      </w:r>
    </w:p>
    <w:p>
      <w:pPr>
        <w:pStyle w:val="Heading2"/>
      </w:pPr>
      <w:r>
        <w:t xml:space="preserve">Phase 3 — Diaspora &amp; SEA (months 12 to 24)</w:t>
      </w:r>
    </w:p>
    <w:p>
      <w:pPr>
        <w:pStyle w:val="ListParagraph"/>
        <w:numPr>
          <w:ilvl w:val="0"/>
          <w:numId w:val="3"/>
        </w:numPr>
      </w:pPr>
      <w:r>
        <w:t xml:space="preserve">English-language activation for diaspora professional segment</w:t>
      </w:r>
    </w:p>
    <w:p>
      <w:pPr>
        <w:pStyle w:val="ListParagraph"/>
        <w:numPr>
          <w:ilvl w:val="0"/>
          <w:numId w:val="3"/>
        </w:numPr>
      </w:pPr>
      <w:r>
        <w:t xml:space="preserve">ASEAN payment rail integrations (PayMaya, GCash, GoPay)</w:t>
      </w:r>
    </w:p>
    <w:p>
      <w:pPr>
        <w:pStyle w:val="ListParagraph"/>
        <w:numPr>
          <w:ilvl w:val="0"/>
          <w:numId w:val="3"/>
        </w:numPr>
      </w:pPr>
      <w:r>
        <w:t xml:space="preserve">First B2B VC issuer license sales</w:t>
      </w:r>
    </w:p>
    <w:p>
      <w:pPr>
        <w:pStyle w:val="ListParagraph"/>
        <w:numPr>
          <w:ilvl w:val="0"/>
          <w:numId w:val="3"/>
        </w:numPr>
      </w:pPr>
      <w:r>
        <w:t xml:space="preserve">Target: 55,000 paid members + USD 4.2M ARR by month 24</w:t>
      </w:r>
    </w:p>
    <w:p>
      <w:pPr>
        <w:pStyle w:val="Heading1"/>
      </w:pPr>
      <w:r>
        <w:t xml:space="preserve">Risk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KYC vendor delays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Two providers in parallel (Sumsub + Trusting Social)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Payment processor blocks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Stripe + PayPal + PAY IAI ONE in parallel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Regulatory change in VN fintech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Legal counsel on retainer; structure isolates regulated activities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Talent acquisition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Medium-High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Remote-first; competitive comp via equity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Founder bus factor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Aggressive hiring plan + documentation discipline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Competition from incumbents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Low-Medium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Architecture moat + voice moat; incumbents tied to old stacks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Investment Thesis</w:t>
    </w:r>
    <w:r>
      <w:t xml:space="preserve">	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E2761"/>
        <w:sz w:val="18"/>
        <w:szCs w:val="18"/>
      </w:rPr>
      <w:t xml:space="preserve">VETUONGLAI.COM</w:t>
    </w:r>
    <w:r>
      <w:rPr>
        <w:color w:val="666666"/>
        <w:sz w:val="18"/>
        <w:szCs w:val="18"/>
      </w:rPr>
      <w:t xml:space="preserve">	Investment Thesis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E2761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600" w:before="0"/>
      <w:jc w:val="center"/>
    </w:pPr>
    <w:rPr>
      <w:rFonts w:ascii="Arial" w:cs="Arial" w:eastAsia="Arial" w:hAnsi="Arial"/>
      <w:i/>
      <w:iCs/>
      <w:color w:val="555555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2026-05-22T10:50:24.882Z</dcterms:created>
  <dcterms:modified xsi:type="dcterms:W3CDTF">2026-05-22T10:50:24.882Z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