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VALUATION REPORT</w:t>
      </w:r>
    </w:p>
    <w:p>
      <w:pPr>
        <w:pStyle w:val="Subtitle"/>
      </w:pPr>
      <w:r>
        <w:t xml:space="preserve">Strategic Valuation — Current Day and 5-Year Outlook</w:t>
      </w:r>
    </w:p>
    <w:p>
      <w:pPr>
        <w:jc w:val="center"/>
      </w:pPr>
      <w:r>
        <w:t xml:space="preserve">Confidential · May 2026</w:t>
      </w:r>
    </w:p>
    <w:p>
      <w:r>
        <w:br w:type="page"/>
      </w:r>
    </w:p>
    <w:p>
      <w:pPr>
        <w:pStyle w:val="Heading1"/>
      </w:pPr>
      <w:r>
        <w:t xml:space="preserve">Headline valuation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  <w:gridCol w:w="256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Low (USD M)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Mid (USD M)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High (USD M)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Methodology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2026 (current)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Pre-revenue: technology asset value + founder execution premium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2027 (Y2)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Revenue multiple (8x) on USD 4.2M ARR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2028 (Y3)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130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Revenue multiple (7.5x) on USD 14.5M ARR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2029 (Y4)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320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Revenue multiple (6.3x) on USD 42M ARR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2030 (Y5)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490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615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740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Revenue multiple (6.3x) on USD 98M ARR + B2B SaaS premium</w:t>
            </w:r>
          </w:p>
        </w:tc>
      </w:tr>
    </w:tbl>
    <w:p>
      <w:pPr>
        <w:pStyle w:val="Heading1"/>
      </w:pPr>
      <w:r>
        <w:t xml:space="preserve">Methodology notes</w:t>
      </w:r>
    </w:p>
    <w:p>
      <w:pPr>
        <w:pStyle w:val="Heading2"/>
      </w:pPr>
      <w:r>
        <w:t xml:space="preserve">1. Pre-revenue valuation (2026)</w:t>
      </w:r>
    </w:p>
    <w:p>
      <w:r>
        <w:t xml:space="preserve">Standard practice for pre-revenue ventures with shipped code uses the cost-to-recreate plus founder-execution premium method. Estimated reproduction cost of the current codebase by a typical agency: USD 4.5 to 6.0 million (16 subdomains × 9 runtime libraries × estimated engineering hours at USD 75-125/hour, including QA, design, and brand). Founder execution premium: 1.5x to 2.5x depending on velocity benchmarks.</w:t>
      </w:r>
    </w:p>
    <w:p>
      <w:r>
        <w:t xml:space="preserve">Range: 4.5 × 1.5 = USD 6.75M (low); 6.0 × 2.5 = USD 15M (high). Mid-point: USD 11M.</w:t>
      </w:r>
    </w:p>
    <w:p>
      <w:pPr>
        <w:pStyle w:val="Heading2"/>
      </w:pPr>
      <w:r>
        <w:t xml:space="preserve">2. Revenue multiple</w:t>
      </w:r>
    </w:p>
    <w:p>
      <w:r>
        <w:t xml:space="preserve">Public comparables for vertical SaaS in emerging markets (Sea Group, GoTo Group, VNG, MOMO valuations) traded between 6x and 10x revenue during 2023-2025. Private comparables in identity and credential space (Trulioo, Onfido) traded between 8x and 12x ARR. Vetuonglai is in identity + emerging market + integrated wallet category — applying 6.3x to 8x range, declining slightly each year as the base scales.</w:t>
      </w:r>
    </w:p>
    <w:p>
      <w:pPr>
        <w:pStyle w:val="Heading2"/>
      </w:pPr>
      <w:r>
        <w:t xml:space="preserve">3. B2B SaaS premium (Year 4-5)</w:t>
      </w:r>
    </w:p>
    <w:p>
      <w:r>
        <w:t xml:space="preserve">B2B VC issuer licensing and identity verification API revenue carries higher multiples (10x-15x) than B2C subscription due to lower churn and higher gross margin. By 2030, an estimated 30 percent of revenue mix shifts to B2B — pulling the blended multiple upward.</w:t>
      </w:r>
    </w:p>
    <w:p>
      <w:pPr>
        <w:pStyle w:val="Heading1"/>
      </w:pPr>
      <w:r>
        <w:t xml:space="preserve">Sensitivity analysis</w:t>
      </w:r>
    </w:p>
    <w:p>
      <w:r>
        <w:t xml:space="preserve">How does valuation change if key drivers differ from base case?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700"/>
        <w:gridCol w:w="2660"/>
      </w:tblGrid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Y3 Revenue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Y5 Revenue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Y5 Valuation (mid)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Bear (slow adoption, 1 market only)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6M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35M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175M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 (planned execution)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14.5M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98M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615M</w:t>
            </w:r>
          </w:p>
        </w:tc>
      </w:tr>
      <w:t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Bull (SEA accelerates + B2B accelerates)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22M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165M</w:t>
            </w:r>
          </w:p>
        </w:tc>
        <w:tc>
          <w:tcPr>
            <w:tcW w:type="dxa" w:w="2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1,150M</w:t>
            </w:r>
          </w:p>
        </w:tc>
      </w:tr>
    </w:tbl>
    <w:p>
      <w:pPr>
        <w:pStyle w:val="Heading1"/>
      </w:pPr>
      <w:r>
        <w:t xml:space="preserve">Investor returns under each scenario</w:t>
      </w:r>
    </w:p>
    <w:p>
      <w:r>
        <w:t xml:space="preserve">Assuming USD 3M raise at USD 11M post-money valuation (Series Seed); investors own ~21.4% pre-dilution: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700"/>
        <w:gridCol w:w="2960"/>
      </w:tblGrid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Y5 Valuation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Investor Y5 share value (pre-dilution)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MOIC (multiple on invested capital)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Bear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175M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37.5M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12.5x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615M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131.6M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43.9x</w:t>
            </w:r>
          </w:p>
        </w:tc>
      </w:tr>
      <w:t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Bull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1,150M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246.1M</w:t>
            </w:r>
          </w:p>
        </w:tc>
        <w:tc>
          <w:tcPr>
            <w:tcW w:type="dxa" w:w="2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82.0x</w:t>
            </w:r>
          </w:p>
        </w:tc>
      </w:tr>
    </w:tbl>
    <w:p>
      <w:r>
        <w:rPr>
          <w:i/>
          <w:iCs/>
          <w:color w:val="555555"/>
          <w:sz w:val="18"/>
          <w:szCs w:val="18"/>
        </w:rPr>
        <w:t xml:space="preserve">Note: assumes ~30 percent dilution from later rounds. After dilution: 8.7x (Bear), 30.7x (Base), 57.4x (Bull).</w:t>
      </w:r>
    </w:p>
    <w:p>
      <w:pPr>
        <w:pStyle w:val="Heading1"/>
      </w:pPr>
      <w:r>
        <w:t xml:space="preserve">Comparable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600"/>
        <w:gridCol w:w="25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Valuation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27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Revenue multiple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Sky Mavis (Axie Infinity)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Series B 2022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Vietnam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3.0B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 (token model)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MoMo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Series E 2021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Vietnam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2.0B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~12x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Tiki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Pre-IPO 2021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Vietnam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832M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~5x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Public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Vietnam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1.8B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~4x (mature)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Coursera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IPO 2021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Global edtech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5.9B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~12x at IPO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Trulioo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 2021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Identity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1.75B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~14x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Onfido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 2025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Identity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USD 650M</w:t>
            </w:r>
          </w:p>
        </w:tc>
        <w:tc>
          <w:tcPr>
            <w:tcW w:type="dxa" w:w="2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~10x</w:t>
            </w:r>
          </w:p>
        </w:tc>
      </w:tr>
    </w:tbl>
    <w:p>
      <w:pPr>
        <w:pStyle w:val="Heading1"/>
      </w:pPr>
      <w:r>
        <w:t xml:space="preserve">Strategic optionality</w:t>
      </w:r>
    </w:p>
    <w:p>
      <w:r>
        <w:t xml:space="preserve">Beyond financial returns, Vetuonglai's strategic position creates optionality: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Acquisition by domestic incumbent</w:t>
      </w:r>
      <w:r>
        <w:t xml:space="preserve">: Vietnamese tech leader looking for identity layer (estimated bid premium 2-3x)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Acquisition by international identity company</w:t>
      </w:r>
      <w:r>
        <w:t xml:space="preserve">: Trulioo, Onfido, Jumio extending into SE Asia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Strategic alliance with major bank</w:t>
      </w:r>
      <w:r>
        <w:t xml:space="preserve">: Vietcombank, Techcombank, or BIDV adopting VC for KYC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IPO at maturity</w:t>
      </w:r>
      <w:r>
        <w:t xml:space="preserve">: Local listing (HOSE) or international (NASDAQ) once revenue exceeds USD 100M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 economy expansion</w:t>
      </w:r>
      <w:r>
        <w:t xml:space="preserve">: Wallet system can extend to community tokens for governance and reward — additional capital efficiency lever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Valuation Report</w:t>
    </w:r>
    <w:r>
      <w:t xml:space="preserve">	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b/>
        <w:bCs/>
        <w:color w:val="1E2761"/>
        <w:sz w:val="18"/>
        <w:szCs w:val="18"/>
      </w:rPr>
      <w:t xml:space="preserve">VETUONGLAI.COM</w:t>
    </w:r>
    <w:r>
      <w:rPr>
        <w:color w:val="666666"/>
        <w:sz w:val="18"/>
        <w:szCs w:val="18"/>
      </w:rPr>
      <w:t xml:space="preserve">	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E2761"/>
      <w:sz w:val="48"/>
      <w:szCs w:val="48"/>
    </w:rPr>
  </w:style>
  <w:style w:type="paragraph" w:styleId="Subtitle">
    <w:name w:val="Subtitle"/>
    <w:basedOn w:val="Normal"/>
    <w:next w:val="Normal"/>
    <w:qFormat/>
    <w:pPr>
      <w:spacing w:after="600" w:before="0"/>
      <w:jc w:val="center"/>
    </w:pPr>
    <w:rPr>
      <w:rFonts w:ascii="Arial" w:cs="Arial" w:eastAsia="Arial" w:hAnsi="Arial"/>
      <w:i/>
      <w:iCs/>
      <w:color w:val="555555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2026-05-22T10:50:24.968Z</dcterms:created>
  <dcterms:modified xsi:type="dcterms:W3CDTF">2026-05-22T10:50:24.968Z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