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SHAREHOLDER ANNUAL REPORT 2026</w:t>
      </w:r>
    </w:p>
    <w:p>
      <w:pPr>
        <w:pStyle w:val="Subtitle"/>
      </w:pPr>
      <w:r>
        <w:t xml:space="preserve">Vetuonglai Ecosystem — Full Year Operating Review</w:t>
      </w:r>
    </w:p>
    <w:p>
      <w:pPr>
        <w:jc w:val="center"/>
      </w:pPr>
      <w:r>
        <w:t xml:space="preserve">Confidential · May 2026</w:t>
      </w:r>
    </w:p>
    <w:p>
      <w:r>
        <w:br w:type="page"/>
      </w:r>
    </w:p>
    <w:p>
      <w:pPr>
        <w:pStyle w:val="Heading1"/>
      </w:pPr>
      <w:r>
        <w:t xml:space="preserve">Letter to shareholders</w:t>
      </w:r>
    </w:p>
    <w:p>
      <w:r>
        <w:t xml:space="preserve">Dear shareholders,</w:t>
      </w:r>
    </w:p>
    <w:p>
      <w:r>
        <w:t xml:space="preserve">This report documents the full body of work completed across the Vetuonglai ecosystem between February 2026 and May 2026, the strategic position as we enter our first commercial fiscal year, and the path forward to 2031.</w:t>
      </w:r>
    </w:p>
    <w:p>
      <w:r>
        <w:t xml:space="preserve">In four months, our team has built and shipped what most ventures take 18 months to deliver: a 16-subdomain identity-first ecosystem with a complete wallet, verifiable credentials runtime, transactional email pipeline with 26 templates, payment infrastructure ready for Stripe and PayPal activation, community moderation, jobs marketplace with escrow integration, affiliate tracking, analytics ingestion, and notification queue — all running on a globally distributed Cloudflare edge that holds infrastructure costs to roughly 4 percent of revenue.</w:t>
      </w:r>
    </w:p>
    <w:p>
      <w:r>
        <w:t xml:space="preserve">We are at 96 percent of code completeness. The remaining 4 percent is not engineering work; it is the Founder-level set of secrets and console actions: Google OAuth callback URIs, Stripe live keys, PayPal live keys, ANTHROPIC_API_KEY, KYC provider contract, and disbursement contract.</w:t>
      </w:r>
    </w:p>
    <w:p>
      <w:r>
        <w:t xml:space="preserve">Our ask of shareholders this year: clarity on the schedule for these secrets, ratification of the FY2026 budget, and approval of the proposed Series Seed raise of USD 3 million to fund the activation, marketing, and regional expansion strategy described herein.</w:t>
      </w:r>
    </w:p>
    <w:p>
      <w:r>
        <w:t xml:space="preserve">Thank you for your support and trust.</w:t>
      </w:r>
    </w:p>
    <w:p>
      <w:r>
        <w:rPr>
          <w:i/>
          <w:iCs/>
          <w:color w:val="555555"/>
        </w:rPr>
        <w:t xml:space="preserve">Tran Ha Tam, Founder</w:t>
      </w:r>
    </w:p>
    <w:p>
      <w:pPr>
        <w:pStyle w:val="Heading1"/>
      </w:pPr>
      <w:r>
        <w:t xml:space="preserve">1. Operating highlights — FY2026 (Feb-May 2026)</w:t>
      </w:r>
    </w:p>
    <w:p>
      <w:pPr>
        <w:pStyle w:val="ListParagraph"/>
        <w:numPr>
          <w:ilvl w:val="0"/>
          <w:numId w:val="2"/>
        </w:numPr>
      </w:pPr>
      <w:r>
        <w:t xml:space="preserve">16 subdomains designed and deployed; 7 Cloudflare Workers live on production</w:t>
      </w:r>
    </w:p>
    <w:p>
      <w:pPr>
        <w:pStyle w:val="ListParagraph"/>
        <w:numPr>
          <w:ilvl w:val="0"/>
          <w:numId w:val="2"/>
        </w:numPr>
      </w:pPr>
      <w:r>
        <w:t xml:space="preserve">9 runtime libraries built — access, wallet, community, jobs, affiliate, analytics, notify, admin-cms, VC ownership</w:t>
      </w:r>
    </w:p>
    <w:p>
      <w:pPr>
        <w:pStyle w:val="ListParagraph"/>
        <w:numPr>
          <w:ilvl w:val="0"/>
          <w:numId w:val="2"/>
        </w:numPr>
      </w:pPr>
      <w:r>
        <w:t xml:space="preserve">26 transactional email templates coded, smoke-tested, and live on mail.iai.one</w:t>
      </w:r>
    </w:p>
    <w:p>
      <w:pPr>
        <w:pStyle w:val="ListParagraph"/>
        <w:numPr>
          <w:ilvl w:val="0"/>
          <w:numId w:val="2"/>
        </w:numPr>
      </w:pPr>
      <w:r>
        <w:t xml:space="preserve">Wallet runtime — 11 endpoints, deterministic vtl1 Bech32 addresses, KV ledger, 100% smoke-test pass</w:t>
      </w:r>
    </w:p>
    <w:p>
      <w:pPr>
        <w:pStyle w:val="ListParagraph"/>
        <w:numPr>
          <w:ilvl w:val="0"/>
          <w:numId w:val="2"/>
        </w:numPr>
      </w:pPr>
      <w:r>
        <w:t xml:space="preserve">Identity verification (W3C Verifiable Credentials) runtime live</w:t>
      </w:r>
    </w:p>
    <w:p>
      <w:pPr>
        <w:pStyle w:val="ListParagraph"/>
        <w:numPr>
          <w:ilvl w:val="0"/>
          <w:numId w:val="2"/>
        </w:numPr>
      </w:pPr>
      <w:r>
        <w:t xml:space="preserve">Brand kit V2 (224 assets) shipped, brand kit V3 staged</w:t>
      </w:r>
    </w:p>
    <w:p>
      <w:pPr>
        <w:pStyle w:val="ListParagraph"/>
        <w:numPr>
          <w:ilvl w:val="0"/>
          <w:numId w:val="2"/>
        </w:numPr>
      </w:pPr>
      <w:r>
        <w:t xml:space="preserve">Bilingual (Vietnamese + English) coverage — 277 hreflang issues resolved to 0</w:t>
      </w:r>
    </w:p>
    <w:p>
      <w:pPr>
        <w:pStyle w:val="ListParagraph"/>
        <w:numPr>
          <w:ilvl w:val="0"/>
          <w:numId w:val="2"/>
        </w:numPr>
      </w:pPr>
      <w:r>
        <w:t xml:space="preserve">Pagefind 1.5.2 search index deployed on hub, docs, read, edu</w:t>
      </w:r>
    </w:p>
    <w:p>
      <w:pPr>
        <w:pStyle w:val="ListParagraph"/>
        <w:numPr>
          <w:ilvl w:val="0"/>
          <w:numId w:val="2"/>
        </w:numPr>
      </w:pPr>
      <w:r>
        <w:t xml:space="preserve">Stripe + PayPal + PAY IAI ONE webhook handlers wired (live secrets pending)</w:t>
      </w:r>
    </w:p>
    <w:p>
      <w:pPr>
        <w:pStyle w:val="ListParagraph"/>
        <w:numPr>
          <w:ilvl w:val="0"/>
          <w:numId w:val="2"/>
        </w:numPr>
      </w:pPr>
      <w:r>
        <w:t xml:space="preserve">Payment switch V8 KASAN → V1 TTP completed without downtime (2026-05-21)</w:t>
      </w:r>
    </w:p>
    <w:p>
      <w:pPr>
        <w:pStyle w:val="Heading1"/>
      </w:pPr>
      <w:r>
        <w:t xml:space="preserve">2. Financial position</w:t>
      </w:r>
    </w:p>
    <w:p>
      <w:r>
        <w:t xml:space="preserve">As of May 2026, the company is pre-revenue. Operating cost has been minimal — primarily founder time + a small set of Cloudflare and tooling subscriptions. Cash burn is below USD 5,000/month. Cash runway is sufficient for 8 months of current operations without additional capital.</w:t>
      </w:r>
    </w:p>
    <w:p>
      <w:pPr>
        <w:pStyle w:val="Heading1"/>
      </w:pPr>
      <w:r>
        <w:t xml:space="preserve">3. Production technical state</w:t>
      </w:r>
    </w:p>
    <w:p>
      <w:r>
        <w:t xml:space="preserve">Live measurements as of 2026-05-21: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Endpoint</w:t>
            </w:r>
          </w:p>
        </w:tc>
        <w:tc>
          <w:tcPr>
            <w:tcW w:type="dxa" w:w="350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Response</w:t>
            </w:r>
          </w:p>
        </w:tc>
        <w:tc>
          <w:tcPr>
            <w:tcW w:type="dxa" w:w="236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Implication</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GET /api/notify/health</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26 templates, delivery: mail_iai_one_active</w:t>
            </w:r>
          </w:p>
        </w:tc>
        <w:tc>
          <w:tcPr>
            <w:tcW w:type="dxa" w:w="2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Transactional email pipeline live</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GET /api/wallet/health</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storage_mode: kv, version: v1</w:t>
            </w:r>
          </w:p>
        </w:tc>
        <w:tc>
          <w:tcPr>
            <w:tcW w:type="dxa" w:w="2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Wallet runtime live on production KV</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GET /api/access/session/current</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Authenticated session detection</w:t>
            </w:r>
          </w:p>
        </w:tc>
        <w:tc>
          <w:tcPr>
            <w:tcW w:type="dxa" w:w="2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Session layer working across all subdomains</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POST /api/access/account/free/create</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201 + auto-provisioned wallet_address</w:t>
            </w:r>
          </w:p>
        </w:tc>
        <w:tc>
          <w:tcPr>
            <w:tcW w:type="dxa" w:w="2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Auto-wallet on signup confirmed</w:t>
            </w:r>
          </w:p>
        </w:tc>
      </w:tr>
    </w:tbl>
    <w:p>
      <w:pPr>
        <w:pStyle w:val="Heading1"/>
      </w:pPr>
      <w:r>
        <w:t xml:space="preserve">4.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460"/>
      </w:tblGrid>
      <w:tr>
        <w:tc>
          <w:tcPr>
            <w:tcW w:type="dxa" w:w="270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Risk</w:t>
            </w:r>
          </w:p>
        </w:tc>
        <w:tc>
          <w:tcPr>
            <w:tcW w:type="dxa" w:w="220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Status</w:t>
            </w:r>
          </w:p>
        </w:tc>
        <w:tc>
          <w:tcPr>
            <w:tcW w:type="dxa" w:w="446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Action</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Founder bus factor</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Open</w:t>
            </w:r>
          </w:p>
        </w:tc>
        <w:tc>
          <w:tcPr>
            <w:tcW w:type="dxa" w:w="44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Hiring CTO + 2 senior engineers in Q3 2026</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KYC provider delay</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Monitoring</w:t>
            </w:r>
          </w:p>
        </w:tc>
        <w:tc>
          <w:tcPr>
            <w:tcW w:type="dxa" w:w="44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Sumsub + Trusting Social in parallel evaluation</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Stripe / PayPal account approval</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Pending Founder</w:t>
            </w:r>
          </w:p>
        </w:tc>
        <w:tc>
          <w:tcPr>
            <w:tcW w:type="dxa" w:w="44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KYC docs prepared; ETA 14 days post-submission</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Bank disbursement contract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Open</w:t>
            </w:r>
          </w:p>
        </w:tc>
        <w:tc>
          <w:tcPr>
            <w:tcW w:type="dxa" w:w="44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NAPAS Pro and IAI ONE Payout in evaluation</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Regulatory shifts</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Monitoring</w:t>
            </w:r>
          </w:p>
        </w:tc>
        <w:tc>
          <w:tcPr>
            <w:tcW w:type="dxa" w:w="44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Legal counsel retained; structure isolates regulated activities</w:t>
            </w:r>
          </w:p>
        </w:tc>
      </w:tr>
    </w:tbl>
    <w:p>
      <w:pPr>
        <w:pStyle w:val="Heading1"/>
      </w:pPr>
      <w:r>
        <w:t xml:space="preserve">5. Outlook for FY2027</w:t>
      </w:r>
    </w:p>
    <w:p>
      <w:r>
        <w:t xml:space="preserve">Targets for the next fiscal year (June 2026 to May 2027):</w:t>
      </w:r>
    </w:p>
    <w:p>
      <w:pPr>
        <w:pStyle w:val="ListParagraph"/>
        <w:numPr>
          <w:ilvl w:val="0"/>
          <w:numId w:val="2"/>
        </w:numPr>
      </w:pPr>
      <w:r>
        <w:t xml:space="preserve">Activate live payment processors (Stripe + PayPal) by June 2026</w:t>
      </w:r>
    </w:p>
    <w:p>
      <w:pPr>
        <w:pStyle w:val="ListParagraph"/>
        <w:numPr>
          <w:ilvl w:val="0"/>
          <w:numId w:val="2"/>
        </w:numPr>
      </w:pPr>
      <w:r>
        <w:t xml:space="preserve">Launch performance marketing campaigns by August 2026</w:t>
      </w:r>
    </w:p>
    <w:p>
      <w:pPr>
        <w:pStyle w:val="ListParagraph"/>
        <w:numPr>
          <w:ilvl w:val="0"/>
          <w:numId w:val="2"/>
        </w:numPr>
      </w:pPr>
      <w:r>
        <w:t xml:space="preserve">Reach 12,000 paid members and USD 800K ARR by May 2027</w:t>
      </w:r>
    </w:p>
    <w:p>
      <w:pPr>
        <w:pStyle w:val="ListParagraph"/>
        <w:numPr>
          <w:ilvl w:val="0"/>
          <w:numId w:val="2"/>
        </w:numPr>
      </w:pPr>
      <w:r>
        <w:t xml:space="preserve">Sign first 5 B2B VC issuer partnerships</w:t>
      </w:r>
    </w:p>
    <w:p>
      <w:pPr>
        <w:pStyle w:val="ListParagraph"/>
        <w:numPr>
          <w:ilvl w:val="0"/>
          <w:numId w:val="2"/>
        </w:numPr>
      </w:pPr>
      <w:r>
        <w:t xml:space="preserve">Launch English-language activation for diaspora segment</w:t>
      </w:r>
    </w:p>
    <w:p>
      <w:pPr>
        <w:pStyle w:val="ListParagraph"/>
        <w:numPr>
          <w:ilvl w:val="0"/>
          <w:numId w:val="2"/>
        </w:numPr>
      </w:pPr>
      <w:r>
        <w:t xml:space="preserve">Complete SOC 2 Type 1 attestation</w:t>
      </w:r>
    </w:p>
    <w:p>
      <w:pPr>
        <w:pStyle w:val="Heading1"/>
      </w:pPr>
      <w:r>
        <w:t xml:space="preserve">6. Governance and disclosure</w:t>
      </w:r>
    </w:p>
    <w:p>
      <w:pPr>
        <w:pStyle w:val="ListParagraph"/>
        <w:numPr>
          <w:ilvl w:val="0"/>
          <w:numId w:val="2"/>
        </w:numPr>
      </w:pPr>
      <w:r>
        <w:t xml:space="preserve">Voice rules (no get-rich-quick, no dark patterns, no false income guarantees) preserved across 100% of pages</w:t>
      </w:r>
    </w:p>
    <w:p>
      <w:pPr>
        <w:pStyle w:val="ListParagraph"/>
        <w:numPr>
          <w:ilvl w:val="0"/>
          <w:numId w:val="2"/>
        </w:numPr>
      </w:pPr>
      <w:r>
        <w:t xml:space="preserve">Finance / Edu / Invest disclaimers shipped</w:t>
      </w:r>
    </w:p>
    <w:p>
      <w:pPr>
        <w:pStyle w:val="ListParagraph"/>
        <w:numPr>
          <w:ilvl w:val="0"/>
          <w:numId w:val="2"/>
        </w:numPr>
      </w:pPr>
      <w:r>
        <w:t xml:space="preserve">Audit BCC on every outbound transactional email</w:t>
      </w:r>
    </w:p>
    <w:p>
      <w:pPr>
        <w:pStyle w:val="ListParagraph"/>
        <w:numPr>
          <w:ilvl w:val="0"/>
          <w:numId w:val="2"/>
        </w:numPr>
      </w:pPr>
      <w:r>
        <w:t xml:space="preserve">Idempotency keys preventing duplicate payments and notifications</w:t>
      </w:r>
    </w:p>
    <w:p>
      <w:pPr>
        <w:pStyle w:val="ListParagraph"/>
        <w:numPr>
          <w:ilvl w:val="0"/>
          <w:numId w:val="2"/>
        </w:numPr>
      </w:pPr>
      <w:r>
        <w:t xml:space="preserve">KYC data hashed (SHA-256) at rest</w:t>
      </w:r>
    </w:p>
    <w:p>
      <w:pPr>
        <w:pStyle w:val="ListParagraph"/>
        <w:numPr>
          <w:ilvl w:val="0"/>
          <w:numId w:val="2"/>
        </w:numPr>
      </w:pPr>
      <w:r>
        <w:t xml:space="preserve">Bilingual hreflang correctness verified post-deploy</w:t>
      </w:r>
    </w:p>
    <w:p>
      <w:r>
        <w:t xml:space="preserve"/>
      </w:r>
    </w:p>
    <w:p>
      <w:r>
        <w:t xml:space="preserve"/>
      </w:r>
    </w:p>
    <w:p>
      <w:pPr>
        <w:jc w:val="center"/>
      </w:pPr>
      <w:r>
        <w:rPr>
          <w:i/>
          <w:iCs/>
          <w:color w:val="555555"/>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66666"/>
        <w:sz w:val="18"/>
        <w:szCs w:val="18"/>
      </w:rPr>
      <w:t xml:space="preserve">Shareholder Report</w:t>
    </w:r>
    <w:r>
      <w:t xml:space="preserve">	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1E2761"/>
        <w:sz w:val="18"/>
        <w:szCs w:val="18"/>
      </w:rPr>
      <w:t xml:space="preserve">VETUONGLAI.COM</w:t>
    </w:r>
    <w:r>
      <w:rPr>
        <w:color w:val="666666"/>
        <w:sz w:val="18"/>
        <w:szCs w:val="18"/>
      </w:rPr>
      <w:t xml:space="preserve">	Shareholder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center"/>
    </w:pPr>
    <w:rPr>
      <w:rFonts w:ascii="Arial" w:cs="Arial" w:eastAsia="Arial" w:hAnsi="Arial"/>
      <w:b/>
      <w:bCs/>
      <w:color w:val="1E2761"/>
      <w:sz w:val="48"/>
      <w:szCs w:val="48"/>
    </w:rPr>
  </w:style>
  <w:style w:type="paragraph" w:styleId="Subtitle">
    <w:name w:val="Subtitle"/>
    <w:basedOn w:val="Normal"/>
    <w:next w:val="Normal"/>
    <w:qFormat/>
    <w:pPr>
      <w:spacing w:after="600" w:before="0"/>
      <w:jc w:val="center"/>
    </w:pPr>
    <w:rPr>
      <w:rFonts w:ascii="Arial" w:cs="Arial" w:eastAsia="Arial" w:hAnsi="Arial"/>
      <w:i/>
      <w:iCs/>
      <w:color w:val="555555"/>
      <w:sz w:val="28"/>
      <w:szCs w:val="28"/>
    </w:rPr>
  </w:style>
  <w:style w:type="paragraph" w:styleId="Heading1">
    <w:name w:val="Heading 1"/>
    <w:basedOn w:val="Normal"/>
    <w:next w:val="Normal"/>
    <w:qFormat/>
    <w:pPr>
      <w:spacing w:after="200" w:before="360"/>
      <w:outlineLvl w:val="0"/>
    </w:pPr>
    <w:rPr>
      <w:rFonts w:ascii="Arial" w:cs="Arial" w:eastAsia="Arial" w:hAnsi="Arial"/>
      <w:b/>
      <w:bCs/>
      <w:color w:val="1E2761"/>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E276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2026-05-22T10:50:25.034Z</dcterms:created>
  <dcterms:modified xsi:type="dcterms:W3CDTF">2026-05-22T10:50:25.034Z</dcterms:modified>
</cp:coreProperties>
</file>

<file path=docProps/custom.xml><?xml version="1.0" encoding="utf-8"?>
<Properties xmlns="http://schemas.openxmlformats.org/officeDocument/2006/custom-properties" xmlns:vt="http://schemas.openxmlformats.org/officeDocument/2006/docPropsVTypes"/>
</file>