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BÁO CÁO ĐỊNH GIÁ</w:t>
      </w:r>
    </w:p>
    <w:p>
      <w:pPr>
        <w:pStyle w:val="Subtitle"/>
      </w:pPr>
      <w:r>
        <w:t xml:space="preserve">Định giá chiến lược — Hiện tại và Triển vọng 5 năm</w:t>
      </w:r>
    </w:p>
    <w:p>
      <w:pPr>
        <w:jc w:val="center"/>
      </w:pPr>
      <w:r>
        <w:t xml:space="preserve">Mật · Tháng 5/2026</w:t>
      </w:r>
    </w:p>
    <w:p>
      <w:r>
        <w:br w:type="page"/>
      </w:r>
    </w:p>
    <w:p>
      <w:pPr>
        <w:pStyle w:val="Heading1"/>
      </w:pPr>
      <w:r>
        <w:t xml:space="preserve">Tóm tắt định giá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560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Năm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Thấp (triệu USD)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Trung (triệu USD)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Cao (triệu USD)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Phương pháp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 (hiện tại)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Pre-revenue: giá trị tài sản công nghệ + execution premium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2027 (N2)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Hệ số doanh thu (8x) trên 4.2M USD ARR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2028 (N3)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130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Hệ số doanh thu (7.5x) trên 14.5M USD ARR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2029 (N4)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265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320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Hệ số doanh thu (6.3x) trên 42M USD ARR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2030 (N5)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490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615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740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Hệ số doanh thu (6.3x) trên 98M USD ARR + B2B premium</w:t>
            </w:r>
          </w:p>
        </w:tc>
      </w:tr>
    </w:tbl>
    <w:p>
      <w:pPr>
        <w:pStyle w:val="Heading1"/>
      </w:pPr>
      <w:r>
        <w:t xml:space="preserve">Ghi chú phương pháp</w:t>
      </w:r>
    </w:p>
    <w:p>
      <w:pPr>
        <w:pStyle w:val="Heading2"/>
      </w:pPr>
      <w:r>
        <w:t xml:space="preserve">1. Định giá pre-revenue (2026)</w:t>
      </w:r>
    </w:p>
    <w:p>
      <w:r>
        <w:t xml:space="preserve">Thông lệ chuẩn cho dự án pre-revenue đã có code dùng phương pháp cost-to-recreate + execution premium. Chi phí ước tính để tái tạo codebase hiện tại bởi agency điển hình: 4.5 - 6.0 triệu USD (16 tên miền × 9 runtime libraries × giờ kỹ thuật ước tính ở 75-125 USD/giờ, bao gồm QA, design, brand). Execution premium của Founder: 1.5x - 2.5x tuỳ benchmark tốc độ.</w:t>
      </w:r>
    </w:p>
    <w:p>
      <w:r>
        <w:t xml:space="preserve">Khoảng: 4.5 × 1.5 = 6.75 triệu USD (thấp); 6.0 × 2.5 = 15 triệu USD (cao). Trung điểm: 11 triệu USD.</w:t>
      </w:r>
    </w:p>
    <w:p>
      <w:pPr>
        <w:pStyle w:val="Heading2"/>
      </w:pPr>
      <w:r>
        <w:t xml:space="preserve">2. Hệ số doanh thu</w:t>
      </w:r>
    </w:p>
    <w:p>
      <w:r>
        <w:t xml:space="preserve">Comparables công khai cho vertical SaaS thị trường mới nổi (Sea Group, GoTo Group, VNG, MOMO) giao dịch giữa 6x và 10x doanh thu trong 2023-2025. Comparables private trong định danh và credential (Trulioo, Onfido) giao dịch giữa 8x và 12x ARR. Vetuonglai ở category định danh + thị trường mới nổi + ví tích hợp — áp dụng khoảng 6.3x đến 8x, giảm nhẹ mỗi năm khi base mở rộng.</w:t>
      </w:r>
    </w:p>
    <w:p>
      <w:pPr>
        <w:pStyle w:val="Heading2"/>
      </w:pPr>
      <w:r>
        <w:t xml:space="preserve">3. B2B SaaS premium (Năm 4-5)</w:t>
      </w:r>
    </w:p>
    <w:p>
      <w:r>
        <w:t xml:space="preserve">Doanh thu B2B VC issuer licensing và identity verification API có hệ số cao hơn (10x-15x) so với B2C subscription do churn thấp hơn và biên gộp cao hơn. Đến 2030, ước tính 30% mix doanh thu chuyển sang B2B — kéo hệ số blended lên.</w:t>
      </w:r>
    </w:p>
    <w:p>
      <w:pPr>
        <w:pStyle w:val="Heading1"/>
      </w:pPr>
      <w:r>
        <w:t xml:space="preserve">Phân tích nhạy cảm</w:t>
      </w:r>
    </w:p>
    <w:p>
      <w:r>
        <w:t xml:space="preserve">Định giá thay đổi thế nào nếu các driver chính khác base case?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700"/>
        <w:gridCol w:w="2660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Kịch bản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Doanh thu N3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Doanh thu N5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Định giá N5 (trung)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Bear (chậm, 1 thị trường)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6M USD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35M USD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175M USD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(thực thi đúng kế hoạch)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14.5M USD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98M USD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615M USD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Bull (SEA + B2B tăng tốc)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22M USD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165M USD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1,150M USD</w:t>
            </w:r>
          </w:p>
        </w:tc>
      </w:tr>
    </w:tbl>
    <w:p>
      <w:pPr>
        <w:pStyle w:val="Heading1"/>
      </w:pPr>
      <w:r>
        <w:t xml:space="preserve">Lợi nhuận nhà đầu tư theo từng kịch bản</w:t>
      </w:r>
    </w:p>
    <w:p>
      <w:r>
        <w:t xml:space="preserve">Giả định raise 3 triệu USD ở định giá post-money 11 triệu USD (Series Seed); nhà đầu tư sở hữu ~21.4% pre-dilution: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700"/>
        <w:gridCol w:w="2960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Kịch bản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Định giá N5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Giá trị share N5 (pre-dilution)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MOIC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Bear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175M USD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37.5M USD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12.5x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615M USD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131.6M USD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43.9x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Bull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1,150M USD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246.1M USD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82.0x</w:t>
            </w:r>
          </w:p>
        </w:tc>
      </w:tr>
    </w:tbl>
    <w:p>
      <w:r>
        <w:rPr>
          <w:i/>
          <w:iCs/>
          <w:color w:val="555555"/>
          <w:sz w:val="18"/>
          <w:szCs w:val="18"/>
        </w:rPr>
        <w:t xml:space="preserve">Ghi chú: giả định pha loãng ~30% từ các vòng sau. Sau pha loãng: 8.7x (Bear), 30.7x (Base), 57.4x (Bull).</w:t>
      </w:r>
    </w:p>
    <w:p>
      <w:pPr>
        <w:pStyle w:val="Heading1"/>
      </w:pPr>
      <w:r>
        <w:t xml:space="preserve">Giao dịch tham chiếu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600"/>
        <w:gridCol w:w="25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Công ty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Giai đoạn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Quốc gia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Định giá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Hệ số doanh thu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Sky Mavis (Axie Infinity)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Series B 2022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Việt Nam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3.0B USD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 (token)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MoMo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Series E 2021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Việt Nam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2.0B USD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~12x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Tiki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Pre-IPO 2021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Việt Nam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832M USD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~5x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Niêm yết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Việt Nam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1.8B USD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~4x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Coursera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IPO 2021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EdTech toàn cầu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5.9B USD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~12x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Trulioo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 2021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Định danh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1.75B USD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~14x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Onfido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 2025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Định danh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650M USD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~10x</w:t>
            </w:r>
          </w:p>
        </w:tc>
      </w:tr>
    </w:tbl>
    <w:p>
      <w:pPr>
        <w:pStyle w:val="Heading1"/>
      </w:pPr>
      <w:r>
        <w:t xml:space="preserve">Tuỳ chọn chiến lược</w:t>
      </w:r>
    </w:p>
    <w:p>
      <w:r>
        <w:t xml:space="preserve">Ngoài lợi nhuận tài chính, vị trí chiến lược của Vetuonglai tạo optionality: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Mua lại bởi incumbent nội địa</w:t>
      </w:r>
      <w:r>
        <w:t xml:space="preserve">: Lãnh đạo tech Việt tìm lớp định danh (ước tính bid premium 2-3x)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Mua lại bởi công ty định danh quốc tế</w:t>
      </w:r>
      <w:r>
        <w:t xml:space="preserve">: Trulioo, Onfido, Jumio mở rộng vào SEA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Liên minh chiến lược với ngân hàng lớn</w:t>
      </w:r>
      <w:r>
        <w:t xml:space="preserve">: Vietcombank, Techcombank, BIDV áp dụng VC cho KYC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IPO khi trưởng thành</w:t>
      </w:r>
      <w:r>
        <w:t xml:space="preserve">: Niêm yết nội địa (HOSE) hoặc quốc tế (NASDAQ) khi doanh thu vượt 100M USD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Mở rộng token economy</w:t>
      </w:r>
      <w:r>
        <w:t xml:space="preserve">: Hệ ví có thể mở rộng sang community tokens cho governance và reward — đòn bẩy hiệu quả vốn thêm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Báo cáo định giá</w:t>
    </w:r>
    <w:r>
      <w:t xml:space="preserve">	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E2761"/>
        <w:sz w:val="18"/>
        <w:szCs w:val="18"/>
      </w:rPr>
      <w:t xml:space="preserve">VETUONGLAI.COM</w:t>
    </w:r>
    <w:r>
      <w:rPr>
        <w:color w:val="666666"/>
        <w:sz w:val="18"/>
        <w:szCs w:val="18"/>
      </w:rPr>
      <w:t xml:space="preserve">	Báo cáo định giá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E2761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600" w:before="0"/>
      <w:jc w:val="center"/>
    </w:pPr>
    <w:rPr>
      <w:rFonts w:ascii="Arial" w:cs="Arial" w:eastAsia="Arial" w:hAnsi="Arial"/>
      <w:i/>
      <w:iCs/>
      <w:color w:val="555555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2026-05-22T10:50:25.318Z</dcterms:created>
  <dcterms:modified xsi:type="dcterms:W3CDTF">2026-05-22T10:50:25.318Z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