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01"/>
        <w:gridCol w:w="4701"/>
      </w:tblGrid>
      <w:tr>
        <w:tc>
          <w:tcPr>
            <w:tcW w:type="dxa" w:w="4608"/>
          </w:tcPr>
          <w:p>
            <w:pPr>
              <w:spacing w:after="40" w:line="276" w:lineRule="auto"/>
              <w:jc w:val="center"/>
            </w:pPr>
            <w:r>
              <w:rPr>
                <w:rFonts w:ascii="Times New Roman" w:hAnsi="Times New Roman"/>
                <w:sz w:val="24"/>
              </w:rPr>
              <w:t>UBND TỈNH ĐIỆN BIÊN</w:t>
              <w:br/>
            </w:r>
            <w:r>
              <w:rPr>
                <w:rFonts w:ascii="Times New Roman" w:hAnsi="Times New Roman"/>
                <w:b/>
                <w:sz w:val="24"/>
              </w:rPr>
              <w:t>TRƯỜNG CAO ĐẲNG ĐIỆN BIÊN</w:t>
            </w:r>
          </w:p>
          <w:p>
            <w:pPr>
              <w:spacing w:after="0"/>
              <w:jc w:val="center"/>
            </w:pPr>
            <w:r>
              <w:rPr>
                <w:rFonts w:ascii="Times New Roman" w:hAnsi="Times New Roman"/>
                <w:sz w:val="24"/>
              </w:rPr>
              <w:t>Số: 29/KH-CĐĐB</w:t>
            </w:r>
          </w:p>
        </w:tc>
        <w:tc>
          <w:tcPr>
            <w:tcW w:type="dxa" w:w="4752"/>
          </w:tcPr>
          <w:p>
            <w:pPr>
              <w:spacing w:after="40" w:line="276" w:lineRule="auto"/>
              <w:jc w:val="center"/>
            </w:pPr>
            <w:r>
              <w:rPr>
                <w:rFonts w:ascii="Times New Roman" w:hAnsi="Times New Roman"/>
                <w:b/>
                <w:sz w:val="24"/>
              </w:rPr>
              <w:t>CỘNG HÒA XÃ HỘI CHỦ NGHĨA VIỆT NAM</w:t>
              <w:br/>
            </w:r>
            <w:r>
              <w:rPr>
                <w:rFonts w:ascii="Times New Roman" w:hAnsi="Times New Roman"/>
                <w:b/>
                <w:sz w:val="26"/>
              </w:rPr>
              <w:t>Độc lập - Tự do - Hạnh phúc</w:t>
            </w:r>
          </w:p>
          <w:p>
            <w:pPr>
              <w:spacing w:after="0"/>
              <w:jc w:val="center"/>
            </w:pPr>
            <w:r>
              <w:rPr>
                <w:rFonts w:ascii="Times New Roman" w:hAnsi="Times New Roman"/>
                <w:i/>
                <w:sz w:val="24"/>
              </w:rPr>
              <w:t>Điện Biên, ngày 03 tháng 9 năm 2025</w:t>
            </w:r>
          </w:p>
        </w:tc>
      </w:tr>
    </w:tbl>
    <w:p>
      <w:pPr>
        <w:spacing w:after="240"/>
      </w:pPr>
    </w:p>
    <w:p>
      <w:pPr>
        <w:spacing w:after="80"/>
        <w:jc w:val="center"/>
      </w:pPr>
      <w:r>
        <w:rPr>
          <w:rFonts w:ascii="Times New Roman" w:hAnsi="Times New Roman"/>
          <w:b/>
          <w:sz w:val="30"/>
        </w:rPr>
        <w:t>KẾ HOẠCH</w:t>
      </w:r>
    </w:p>
    <w:p>
      <w:pPr>
        <w:spacing w:after="280"/>
        <w:jc w:val="center"/>
      </w:pPr>
      <w:r>
        <w:rPr>
          <w:rFonts w:ascii="Times New Roman" w:hAnsi="Times New Roman"/>
          <w:b/>
          <w:sz w:val="28"/>
        </w:rPr>
        <w:t>Phân công nhiệm vụ thành viên Ban Soạn thảo Quy chế tổ chức và hoạt động</w:t>
        <w:br/>
        <w:t>Trường Cao đẳng Điện Biên</w:t>
      </w:r>
    </w:p>
    <w:p>
      <w:pPr>
        <w:spacing w:after="120" w:line="276" w:lineRule="auto"/>
        <w:ind w:firstLine="720"/>
      </w:pPr>
      <w:r>
        <w:rPr>
          <w:rFonts w:ascii="Times New Roman" w:hAnsi="Times New Roman"/>
          <w:i/>
          <w:sz w:val="26"/>
        </w:rPr>
        <w:t>Căn cứ Thông tư số 15/2021/TT-BLĐTBXH ngày 21 tháng 10 năm 2021 của Bộ Lao động Thương binh và Xã hội quy định Điều lệ trường cao đẳng;</w:t>
      </w:r>
    </w:p>
    <w:p>
      <w:pPr>
        <w:spacing w:after="120" w:line="276" w:lineRule="auto"/>
        <w:ind w:firstLine="720"/>
      </w:pPr>
      <w:r>
        <w:rPr>
          <w:rFonts w:ascii="Times New Roman" w:hAnsi="Times New Roman"/>
          <w:i/>
          <w:sz w:val="26"/>
        </w:rPr>
        <w:t>Căn cứ Quyết định số 1971/QĐ-UBND ngày 29 tháng 8 năm 2025 của UBND tỉnh Điện Biên về việc Quy định chức năng, nhiệm vụ, quyền hạn và cơ cấu tổ chức của Trường Cao đẳng Điện Biên;</w:t>
      </w:r>
    </w:p>
    <w:p>
      <w:pPr>
        <w:spacing w:after="120" w:line="276" w:lineRule="auto"/>
        <w:ind w:firstLine="720"/>
      </w:pPr>
      <w:r>
        <w:rPr>
          <w:rFonts w:ascii="Times New Roman" w:hAnsi="Times New Roman"/>
          <w:i/>
          <w:sz w:val="26"/>
        </w:rPr>
        <w:t>Căn cứ Quyết định số 28/QĐ-CĐĐB ngày 03 tháng 9 năm 2025 của Hiệu trưởng Trường Cao đẳng Điện Biên về việc thành lập Ban Soạn thảo Quy chế tổ chức và hoạt động Trường Cao đẳng Điện Biên;</w:t>
      </w:r>
    </w:p>
    <w:p>
      <w:pPr>
        <w:spacing w:before="120" w:after="240"/>
        <w:ind w:firstLine="720"/>
      </w:pPr>
      <w:r>
        <w:rPr>
          <w:rFonts w:ascii="Times New Roman" w:hAnsi="Times New Roman"/>
          <w:sz w:val="26"/>
        </w:rPr>
        <w:t>Trưởng ban Soạn thảo Quy chế tổ chức và hoạt động Trường Cao đẳng Điện Biên phân công nhiệm vụ cho các thành viên cụ thể như sau:</w:t>
      </w:r>
    </w:p>
    <w:p>
      <w:pPr>
        <w:spacing w:before="200" w:after="160"/>
      </w:pPr>
      <w:r>
        <w:rPr>
          <w:rFonts w:ascii="Times New Roman" w:hAnsi="Times New Roman"/>
          <w:b/>
          <w:sz w:val="26"/>
        </w:rPr>
        <w:t>I. NỘI DUNG SOẠN THẢO</w:t>
      </w:r>
    </w:p>
    <w:tbl>
      <w:tblPr>
        <w:tblStyle w:val="TableGrid"/>
        <w:tblW w:type="auto" w:w="0"/>
        <w:jc w:val="center"/>
        <w:tblLayout w:type="fixed"/>
        <w:tblLook w:firstColumn="1" w:firstRow="1" w:lastColumn="0" w:lastRow="0" w:noHBand="0" w:noVBand="1" w:val="04A0"/>
      </w:tblPr>
      <w:tblGrid>
        <w:gridCol w:w="3134"/>
        <w:gridCol w:w="3134"/>
        <w:gridCol w:w="3134"/>
      </w:tblGrid>
      <w:tr>
        <w:tc>
          <w:tcPr>
            <w:tcW w:type="dxa" w:w="864"/>
            <w:shd w:fill="E6E6E6"/>
            <w:tcMar>
              <w:top w:w="120" w:type="dxa"/>
              <w:bottom w:w="120" w:type="dxa"/>
              <w:left w:w="100" w:type="dxa"/>
              <w:right w:w="100" w:type="dxa"/>
            </w:tcMar>
          </w:tcPr>
          <w:p>
            <w:pPr>
              <w:jc w:val="center"/>
            </w:pPr>
            <w:r>
              <w:rPr>
                <w:rFonts w:ascii="Times New Roman" w:hAnsi="Times New Roman"/>
                <w:b/>
                <w:sz w:val="24"/>
              </w:rPr>
              <w:t>STT</w:t>
            </w:r>
          </w:p>
        </w:tc>
        <w:tc>
          <w:tcPr>
            <w:tcW w:type="dxa" w:w="6048"/>
            <w:shd w:fill="E6E6E6"/>
            <w:tcMar>
              <w:top w:w="120" w:type="dxa"/>
              <w:bottom w:w="120" w:type="dxa"/>
              <w:left w:w="100" w:type="dxa"/>
              <w:right w:w="100" w:type="dxa"/>
            </w:tcMar>
          </w:tcPr>
          <w:p>
            <w:pPr>
              <w:jc w:val="center"/>
            </w:pPr>
            <w:r>
              <w:rPr>
                <w:rFonts w:ascii="Times New Roman" w:hAnsi="Times New Roman"/>
                <w:b/>
                <w:sz w:val="24"/>
              </w:rPr>
              <w:t>Nội dung công việc</w:t>
            </w:r>
          </w:p>
        </w:tc>
        <w:tc>
          <w:tcPr>
            <w:tcW w:type="dxa" w:w="2448"/>
            <w:shd w:fill="E6E6E6"/>
            <w:tcMar>
              <w:top w:w="120" w:type="dxa"/>
              <w:bottom w:w="120" w:type="dxa"/>
              <w:left w:w="100" w:type="dxa"/>
              <w:right w:w="100" w:type="dxa"/>
            </w:tcMar>
          </w:tcPr>
          <w:p>
            <w:pPr>
              <w:jc w:val="center"/>
            </w:pPr>
            <w:r>
              <w:rPr>
                <w:rFonts w:ascii="Times New Roman" w:hAnsi="Times New Roman"/>
                <w:b/>
                <w:sz w:val="24"/>
              </w:rPr>
              <w:t>Cá nhân thực hiện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1</w:t>
            </w:r>
          </w:p>
        </w:tc>
        <w:tc>
          <w:tcPr>
            <w:tcW w:type="dxa" w:w="6048"/>
            <w:tcMar>
              <w:top w:w="80" w:type="dxa"/>
              <w:bottom w:w="80" w:type="dxa"/>
              <w:left w:w="100" w:type="dxa"/>
              <w:right w:w="100" w:type="dxa"/>
            </w:tcMar>
          </w:tcPr>
          <w:p>
            <w:pPr>
              <w:spacing w:after="0" w:line="276" w:lineRule="auto"/>
              <w:jc w:val="left"/>
            </w:pPr>
            <w:r>
              <w:rPr>
                <w:rFonts w:ascii="Times New Roman" w:hAnsi="Times New Roman"/>
                <w:sz w:val="24"/>
              </w:rPr>
              <w:t>Chỉ đạo điều hành chung mọi hoạt động của Ban soạn thảo; phân công, chỉ đạo các thành viên trong Ban thực hiện nhiệm vụ được giao</w:t>
            </w:r>
          </w:p>
        </w:tc>
        <w:tc>
          <w:tcPr>
            <w:tcW w:type="dxa" w:w="2448"/>
            <w:tcMar>
              <w:top w:w="80" w:type="dxa"/>
              <w:bottom w:w="80" w:type="dxa"/>
              <w:left w:w="100" w:type="dxa"/>
              <w:right w:w="100" w:type="dxa"/>
            </w:tcMar>
          </w:tcPr>
          <w:p>
            <w:pPr>
              <w:spacing w:after="0" w:line="276" w:lineRule="auto"/>
              <w:jc w:val="left"/>
            </w:pPr>
            <w:r>
              <w:rPr>
                <w:rFonts w:ascii="Times New Roman" w:hAnsi="Times New Roman"/>
                <w:b/>
                <w:sz w:val="24"/>
              </w:rPr>
              <w:t>Trần Bá Uẩn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2</w:t>
            </w:r>
          </w:p>
        </w:tc>
        <w:tc>
          <w:tcPr>
            <w:tcW w:type="dxa" w:w="6048"/>
            <w:tcMar>
              <w:top w:w="80" w:type="dxa"/>
              <w:bottom w:w="80" w:type="dxa"/>
              <w:left w:w="100" w:type="dxa"/>
              <w:right w:w="100" w:type="dxa"/>
            </w:tcMar>
          </w:tcPr>
          <w:p>
            <w:pPr>
              <w:spacing w:after="0" w:line="276" w:lineRule="auto"/>
              <w:jc w:val="left"/>
            </w:pPr>
            <w:r>
              <w:rPr>
                <w:rFonts w:ascii="Times New Roman" w:hAnsi="Times New Roman"/>
                <w:sz w:val="24"/>
              </w:rPr>
              <w:t>Chủ trì xây dựng: nội dung về những quy định chung, sứ mạng, mục tiêu, nhiệm vụ, quyền hạn của Trường</w:t>
            </w:r>
          </w:p>
        </w:tc>
        <w:tc>
          <w:tcPr>
            <w:tcW w:type="dxa" w:w="2448"/>
            <w:tcMar>
              <w:top w:w="80" w:type="dxa"/>
              <w:bottom w:w="80" w:type="dxa"/>
              <w:left w:w="100" w:type="dxa"/>
              <w:right w:w="100" w:type="dxa"/>
            </w:tcMar>
          </w:tcPr>
          <w:p>
            <w:pPr>
              <w:spacing w:after="0" w:line="276" w:lineRule="auto"/>
              <w:jc w:val="left"/>
            </w:pPr>
            <w:r>
              <w:rPr>
                <w:rFonts w:ascii="Times New Roman" w:hAnsi="Times New Roman"/>
                <w:b/>
                <w:sz w:val="24"/>
              </w:rPr>
              <w:t>Mai Thị Hồng Nhung</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3</w:t>
            </w:r>
          </w:p>
        </w:tc>
        <w:tc>
          <w:tcPr>
            <w:tcW w:type="dxa" w:w="6048"/>
            <w:tcMar>
              <w:top w:w="80" w:type="dxa"/>
              <w:bottom w:w="80" w:type="dxa"/>
              <w:left w:w="100" w:type="dxa"/>
              <w:right w:w="100" w:type="dxa"/>
            </w:tcMar>
          </w:tcPr>
          <w:p>
            <w:pPr>
              <w:spacing w:after="0" w:line="276" w:lineRule="auto"/>
              <w:jc w:val="left"/>
            </w:pPr>
            <w:r>
              <w:rPr>
                <w:rFonts w:ascii="Times New Roman" w:hAnsi="Times New Roman"/>
                <w:sz w:val="24"/>
              </w:rPr>
              <w:t>Chủ trì xây dựng: nội dung về cơ cấu tổ chức của trường, ban giám hiệu và các hội đồng tư vấn; quy định chung về Phòng chức năng, các Khoa và bộ môn trực thuộc Khoa; quy trình bổ nhiệm, thôi giữ chức vụ, miễn nhiệm, từ chức đối với viên chức quản lý</w:t>
            </w:r>
          </w:p>
        </w:tc>
        <w:tc>
          <w:tcPr>
            <w:tcW w:type="dxa" w:w="2448"/>
            <w:tcMar>
              <w:top w:w="80" w:type="dxa"/>
              <w:bottom w:w="80" w:type="dxa"/>
              <w:left w:w="100" w:type="dxa"/>
              <w:right w:w="100" w:type="dxa"/>
            </w:tcMar>
          </w:tcPr>
          <w:p>
            <w:pPr>
              <w:spacing w:after="0" w:line="276" w:lineRule="auto"/>
              <w:jc w:val="left"/>
            </w:pPr>
            <w:r>
              <w:rPr>
                <w:rFonts w:ascii="Times New Roman" w:hAnsi="Times New Roman"/>
                <w:b/>
                <w:sz w:val="24"/>
              </w:rPr>
              <w:t>Phạm Thị Loan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4</w:t>
            </w:r>
          </w:p>
        </w:tc>
        <w:tc>
          <w:tcPr>
            <w:tcW w:type="dxa" w:w="6048"/>
            <w:tcMar>
              <w:top w:w="80" w:type="dxa"/>
              <w:bottom w:w="80" w:type="dxa"/>
              <w:left w:w="100" w:type="dxa"/>
              <w:right w:w="100" w:type="dxa"/>
            </w:tcMar>
          </w:tcPr>
          <w:p>
            <w:pPr>
              <w:spacing w:after="0" w:line="276" w:lineRule="auto"/>
              <w:jc w:val="left"/>
            </w:pPr>
            <w:r>
              <w:rPr>
                <w:rFonts w:ascii="Times New Roman" w:hAnsi="Times New Roman"/>
                <w:sz w:val="24"/>
              </w:rPr>
              <w:t>Chủ trì xây dựng: Nội dung về Hội đồng trường</w:t>
            </w:r>
          </w:p>
        </w:tc>
        <w:tc>
          <w:tcPr>
            <w:tcW w:type="dxa" w:w="2448"/>
            <w:tcMar>
              <w:top w:w="80" w:type="dxa"/>
              <w:bottom w:w="80" w:type="dxa"/>
              <w:left w:w="100" w:type="dxa"/>
              <w:right w:w="100" w:type="dxa"/>
            </w:tcMar>
          </w:tcPr>
          <w:p>
            <w:pPr>
              <w:spacing w:after="0" w:line="276" w:lineRule="auto"/>
              <w:jc w:val="left"/>
            </w:pPr>
            <w:r>
              <w:rPr>
                <w:rFonts w:ascii="Times New Roman" w:hAnsi="Times New Roman"/>
                <w:b/>
                <w:sz w:val="24"/>
              </w:rPr>
              <w:t>Nguyễn Trọng Thuỷ, Trịnh Văn Hoà</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5</w:t>
            </w:r>
          </w:p>
        </w:tc>
        <w:tc>
          <w:tcPr>
            <w:tcW w:type="dxa" w:w="6048"/>
            <w:tcMar>
              <w:top w:w="80" w:type="dxa"/>
              <w:bottom w:w="80" w:type="dxa"/>
              <w:left w:w="100" w:type="dxa"/>
              <w:right w:w="100" w:type="dxa"/>
            </w:tcMar>
          </w:tcPr>
          <w:p>
            <w:pPr>
              <w:spacing w:after="0" w:line="276" w:lineRule="auto"/>
              <w:jc w:val="left"/>
            </w:pPr>
            <w:r>
              <w:rPr>
                <w:rFonts w:ascii="Times New Roman" w:hAnsi="Times New Roman"/>
                <w:sz w:val="24"/>
              </w:rPr>
              <w:t>Chủ trì xây dựng: chức năng, nhiệm vụ của Phòng Tổ chức - Hành chính - Quản trị</w:t>
            </w:r>
          </w:p>
        </w:tc>
        <w:tc>
          <w:tcPr>
            <w:tcW w:type="dxa" w:w="2448"/>
            <w:tcMar>
              <w:top w:w="80" w:type="dxa"/>
              <w:bottom w:w="80" w:type="dxa"/>
              <w:left w:w="100" w:type="dxa"/>
              <w:right w:w="100" w:type="dxa"/>
            </w:tcMar>
          </w:tcPr>
          <w:p>
            <w:pPr>
              <w:spacing w:after="0" w:line="276" w:lineRule="auto"/>
              <w:jc w:val="left"/>
            </w:pPr>
            <w:r>
              <w:rPr>
                <w:rFonts w:ascii="Times New Roman" w:hAnsi="Times New Roman"/>
                <w:b/>
                <w:sz w:val="24"/>
              </w:rPr>
              <w:t>Đỗ Thành Đô, Đinh Vân Hồng, Nguyễn Thế Đồng</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6</w:t>
            </w:r>
          </w:p>
        </w:tc>
        <w:tc>
          <w:tcPr>
            <w:tcW w:type="dxa" w:w="6048"/>
            <w:tcMar>
              <w:top w:w="80" w:type="dxa"/>
              <w:bottom w:w="80" w:type="dxa"/>
              <w:left w:w="100" w:type="dxa"/>
              <w:right w:w="100" w:type="dxa"/>
            </w:tcMar>
          </w:tcPr>
          <w:p>
            <w:pPr>
              <w:spacing w:after="0" w:line="276" w:lineRule="auto"/>
              <w:jc w:val="left"/>
            </w:pPr>
            <w:r>
              <w:rPr>
                <w:rFonts w:ascii="Times New Roman" w:hAnsi="Times New Roman"/>
                <w:sz w:val="24"/>
              </w:rPr>
              <w:t>Chủ trì xây dựng: Chức năng, nhiệm vụ của Phòng Kế hoạch - Tài chính. Soạn thảo nội dung tài chính, tài sản của trường (quy định trong Điều 42, 44, 46 của Thông tư số 15/2021/TT-BLĐTBXH)</w:t>
            </w:r>
          </w:p>
        </w:tc>
        <w:tc>
          <w:tcPr>
            <w:tcW w:type="dxa" w:w="2448"/>
            <w:tcMar>
              <w:top w:w="80" w:type="dxa"/>
              <w:bottom w:w="80" w:type="dxa"/>
              <w:left w:w="100" w:type="dxa"/>
              <w:right w:w="100" w:type="dxa"/>
            </w:tcMar>
          </w:tcPr>
          <w:p>
            <w:pPr>
              <w:spacing w:after="0" w:line="276" w:lineRule="auto"/>
              <w:jc w:val="left"/>
            </w:pPr>
            <w:r>
              <w:rPr>
                <w:rFonts w:ascii="Times New Roman" w:hAnsi="Times New Roman"/>
                <w:b/>
                <w:sz w:val="24"/>
              </w:rPr>
              <w:t>Phạm Thị Luyến, Phạm Thị Hằng</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7</w:t>
            </w:r>
          </w:p>
        </w:tc>
        <w:tc>
          <w:tcPr>
            <w:tcW w:type="dxa" w:w="6048"/>
            <w:tcMar>
              <w:top w:w="80" w:type="dxa"/>
              <w:bottom w:w="80" w:type="dxa"/>
              <w:left w:w="100" w:type="dxa"/>
              <w:right w:w="100" w:type="dxa"/>
            </w:tcMar>
          </w:tcPr>
          <w:p>
            <w:pPr>
              <w:spacing w:after="0" w:line="276" w:lineRule="auto"/>
              <w:jc w:val="left"/>
            </w:pPr>
            <w:r>
              <w:rPr>
                <w:rFonts w:ascii="Times New Roman" w:hAnsi="Times New Roman"/>
                <w:sz w:val="24"/>
              </w:rPr>
              <w:t>Chủ trì xây dựng: Chức năng, nhiệm vụ của Phòng Công tác học sinh, sinh viên - Bảo đảm chất lượng giáo dục. Soạn thảo nội dung tổ chức hoạt động đào tạo (quy định tại khoản 2 Điều 30, Điều 32, Điều 51, 46 của Thông tư số 15/2021/TT-BLĐTBXH)</w:t>
            </w:r>
          </w:p>
        </w:tc>
        <w:tc>
          <w:tcPr>
            <w:tcW w:type="dxa" w:w="2448"/>
            <w:tcMar>
              <w:top w:w="80" w:type="dxa"/>
              <w:bottom w:w="80" w:type="dxa"/>
              <w:left w:w="100" w:type="dxa"/>
              <w:right w:w="100" w:type="dxa"/>
            </w:tcMar>
          </w:tcPr>
          <w:p>
            <w:pPr>
              <w:spacing w:after="0" w:line="276" w:lineRule="auto"/>
              <w:jc w:val="left"/>
            </w:pPr>
            <w:r>
              <w:rPr>
                <w:rFonts w:ascii="Times New Roman" w:hAnsi="Times New Roman"/>
                <w:b/>
                <w:sz w:val="24"/>
              </w:rPr>
              <w:t>Trịnh Thị Thu Hằng, Nguyễn Minh Đức</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8</w:t>
            </w:r>
          </w:p>
        </w:tc>
        <w:tc>
          <w:tcPr>
            <w:tcW w:type="dxa" w:w="6048"/>
            <w:tcMar>
              <w:top w:w="80" w:type="dxa"/>
              <w:bottom w:w="80" w:type="dxa"/>
              <w:left w:w="100" w:type="dxa"/>
              <w:right w:w="100" w:type="dxa"/>
            </w:tcMar>
          </w:tcPr>
          <w:p>
            <w:pPr>
              <w:spacing w:after="0" w:line="276" w:lineRule="auto"/>
              <w:jc w:val="left"/>
            </w:pPr>
            <w:r>
              <w:rPr>
                <w:rFonts w:ascii="Times New Roman" w:hAnsi="Times New Roman"/>
                <w:sz w:val="24"/>
              </w:rPr>
              <w:t>Chủ trì xây dựng: Chức năng, nhiệm vụ của Phòng Đào tạo - NCKH. Soạn thảo nội dung tổ chức hoạt động đào tạo (quy định trong Điều 27, 28, 29, khoản 1 Điều 30, 31 của Thông tư số 15/2021/TT-BLĐTBXH). Soạn thảo nội dung hoạt động hợp tác quốc tế (quy định trong Điều 33, 34 của Thông tư 15/2021/TT-BLĐTBXH). Soạn thảo nội dung quan hệ giữa nhà trường với doanh nghiệp, cơ sở giáo dục nghề nghiệp, cơ sở giáo dục, gia đình người học và xã hội (quy định trong Điều 49, 50, 52 của Thông tư 15/2021/TT-BLĐTBXH)</w:t>
            </w:r>
          </w:p>
        </w:tc>
        <w:tc>
          <w:tcPr>
            <w:tcW w:type="dxa" w:w="2448"/>
            <w:tcMar>
              <w:top w:w="80" w:type="dxa"/>
              <w:bottom w:w="80" w:type="dxa"/>
              <w:left w:w="100" w:type="dxa"/>
              <w:right w:w="100" w:type="dxa"/>
            </w:tcMar>
          </w:tcPr>
          <w:p>
            <w:pPr>
              <w:spacing w:after="0" w:line="276" w:lineRule="auto"/>
              <w:jc w:val="left"/>
            </w:pPr>
            <w:r>
              <w:rPr>
                <w:rFonts w:ascii="Times New Roman" w:hAnsi="Times New Roman"/>
                <w:b/>
                <w:sz w:val="24"/>
              </w:rPr>
              <w:t>Lê Thị Hồng Duyên, Đỗ Xuân Tuấn</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9</w:t>
            </w:r>
          </w:p>
        </w:tc>
        <w:tc>
          <w:tcPr>
            <w:tcW w:type="dxa" w:w="6048"/>
            <w:tcMar>
              <w:top w:w="80" w:type="dxa"/>
              <w:bottom w:w="80" w:type="dxa"/>
              <w:left w:w="100" w:type="dxa"/>
              <w:right w:w="100" w:type="dxa"/>
            </w:tcMar>
          </w:tcPr>
          <w:p>
            <w:pPr>
              <w:spacing w:after="0" w:line="276" w:lineRule="auto"/>
              <w:jc w:val="left"/>
            </w:pPr>
            <w:r>
              <w:rPr>
                <w:rFonts w:ascii="Times New Roman" w:hAnsi="Times New Roman"/>
                <w:sz w:val="24"/>
              </w:rPr>
              <w:t>Chủ trì xây dựng: Chức năng, nhiệm vụ của Khoa Điện – Điện tử</w:t>
            </w:r>
          </w:p>
        </w:tc>
        <w:tc>
          <w:tcPr>
            <w:tcW w:type="dxa" w:w="2448"/>
            <w:tcMar>
              <w:top w:w="80" w:type="dxa"/>
              <w:bottom w:w="80" w:type="dxa"/>
              <w:left w:w="100" w:type="dxa"/>
              <w:right w:w="100" w:type="dxa"/>
            </w:tcMar>
          </w:tcPr>
          <w:p>
            <w:pPr>
              <w:spacing w:after="0" w:line="276" w:lineRule="auto"/>
              <w:jc w:val="left"/>
            </w:pPr>
            <w:r>
              <w:rPr>
                <w:rFonts w:ascii="Times New Roman" w:hAnsi="Times New Roman"/>
                <w:b/>
                <w:sz w:val="24"/>
              </w:rPr>
              <w:t>Vũ Thị Thuỳ Linh</w:t>
            </w:r>
          </w:p>
        </w:tc>
      </w:tr>
      <w:tr>
        <w:tc>
          <w:tcPr>
            <w:tcW w:type="dxa" w:w="864"/>
            <w:tcMar>
              <w:top w:w="80" w:type="dxa"/>
              <w:bottom w:w="80" w:type="dxa"/>
              <w:left w:w="100" w:type="dxa"/>
              <w:right w:w="100" w:type="dxa"/>
            </w:tcMar>
          </w:tcPr>
          <w:p>
            <w:pPr>
              <w:spacing w:after="0" w:line="276" w:lineRule="auto"/>
              <w:jc w:val="center"/>
            </w:pPr>
            <w:r>
              <w:rPr>
                <w:rFonts w:ascii="Times New Roman" w:hAnsi="Times New Roman"/>
                <w:sz w:val="24"/>
              </w:rPr>
              <w:t>10</w:t>
            </w:r>
          </w:p>
        </w:tc>
        <w:tc>
          <w:tcPr>
            <w:tcW w:type="dxa" w:w="6048"/>
            <w:tcMar>
              <w:top w:w="80" w:type="dxa"/>
              <w:bottom w:w="80" w:type="dxa"/>
              <w:left w:w="100" w:type="dxa"/>
              <w:right w:w="100" w:type="dxa"/>
            </w:tcMar>
          </w:tcPr>
          <w:p>
            <w:pPr>
              <w:spacing w:after="0" w:line="276" w:lineRule="auto"/>
              <w:jc w:val="left"/>
            </w:pPr>
            <w:r>
              <w:rPr>
                <w:rFonts w:ascii="Times New Roman" w:hAnsi="Times New Roman"/>
                <w:sz w:val="24"/>
              </w:rPr>
              <w:t>Chủ trì xây dựng: Chức năng, nhiệm vụ của Khoa Công nghệ ô tô – Cơ khí</w:t>
            </w:r>
          </w:p>
        </w:tc>
        <w:tc>
          <w:tcPr>
            <w:tcW w:type="dxa" w:w="2448"/>
            <w:tcMar>
              <w:top w:w="80" w:type="dxa"/>
              <w:bottom w:w="80" w:type="dxa"/>
              <w:left w:w="100" w:type="dxa"/>
              <w:right w:w="100" w:type="dxa"/>
            </w:tcMar>
          </w:tcPr>
          <w:p>
            <w:pPr>
              <w:spacing w:after="0" w:line="276" w:lineRule="auto"/>
              <w:jc w:val="left"/>
            </w:pPr>
            <w:r>
              <w:rPr>
                <w:rFonts w:ascii="Times New Roman" w:hAnsi="Times New Roman"/>
                <w:b/>
                <w:sz w:val="24"/>
              </w:rPr>
              <w:t>Nguyễn Thị Mơ</w:t>
            </w:r>
          </w:p>
        </w:tc>
      </w:tr>
    </w:tbl>
    <w:p>
      <w:pPr>
        <w:spacing w:before="280" w:after="160"/>
      </w:pPr>
      <w:r>
        <w:rPr>
          <w:rFonts w:ascii="Times New Roman" w:hAnsi="Times New Roman"/>
          <w:b/>
          <w:sz w:val="26"/>
        </w:rPr>
        <w:t>II. YÊU CẦU &amp; TIẾN ĐỘ THỰC HIỆN</w:t>
      </w:r>
    </w:p>
    <w:p>
      <w:pPr>
        <w:spacing w:after="80" w:line="276" w:lineRule="auto"/>
        <w:ind w:firstLine="720"/>
      </w:pPr>
      <w:r>
        <w:rPr>
          <w:rFonts w:ascii="Times New Roman" w:hAnsi="Times New Roman"/>
          <w:sz w:val="26"/>
        </w:rPr>
        <w:t>- Thành viên Ban Soạn thảo chủ động phối hợp trong xây dựng chức năng, nhiệm vụ của đơn vị mới (đối với đơn vị có sự điều chuyển chức năng, nhiệm vụ). Đề xuất số lượng người làm việc phù hợp.</w:t>
      </w:r>
    </w:p>
    <w:p>
      <w:pPr>
        <w:spacing w:after="80" w:line="276" w:lineRule="auto"/>
        <w:ind w:firstLine="720"/>
      </w:pPr>
      <w:r>
        <w:rPr>
          <w:rFonts w:ascii="Times New Roman" w:hAnsi="Times New Roman"/>
          <w:sz w:val="26"/>
        </w:rPr>
        <w:t>- Đối với các đơn vị trực thuộc (15 đơn vị): Thực hiện theo Biểu mẫu số 01.</w:t>
      </w:r>
    </w:p>
    <w:p>
      <w:pPr>
        <w:spacing w:after="80" w:line="276" w:lineRule="auto"/>
        <w:ind w:firstLine="360"/>
      </w:pPr>
      <w:r>
        <w:rPr>
          <w:rFonts w:ascii="Times New Roman" w:hAnsi="Times New Roman"/>
          <w:b/>
          <w:sz w:val="26"/>
        </w:rPr>
        <w:t>- Thời gian hoàn thành:</w:t>
      </w:r>
    </w:p>
    <w:p>
      <w:pPr>
        <w:spacing w:after="80" w:line="276" w:lineRule="auto"/>
        <w:ind w:firstLine="720"/>
      </w:pPr>
      <w:r>
        <w:rPr>
          <w:rFonts w:ascii="Times New Roman" w:hAnsi="Times New Roman"/>
          <w:sz w:val="26"/>
        </w:rPr>
        <w:t>+ Thành viên gửi nội dung qua Email Phòng TC - HC - QT trước 17h00 ngày 05/9/2025.</w:t>
      </w:r>
    </w:p>
    <w:p>
      <w:pPr>
        <w:spacing w:after="80" w:line="276" w:lineRule="auto"/>
        <w:ind w:firstLine="720"/>
      </w:pPr>
      <w:r>
        <w:rPr>
          <w:rFonts w:ascii="Times New Roman" w:hAnsi="Times New Roman"/>
          <w:sz w:val="26"/>
        </w:rPr>
        <w:t>+ Thư ký tổng hợp, gửi dự thảo tới các đơn vị trực thuộc trước 15h00 ngày 07/9/2025.</w:t>
      </w:r>
    </w:p>
    <w:p>
      <w:pPr>
        <w:spacing w:after="80" w:line="276" w:lineRule="auto"/>
        <w:ind w:firstLine="720"/>
      </w:pPr>
      <w:r>
        <w:rPr>
          <w:rFonts w:ascii="Times New Roman" w:hAnsi="Times New Roman"/>
          <w:sz w:val="26"/>
        </w:rPr>
        <w:t>+ Thống nhất thông qua dự thảo tại cuộc họp Ban soạn thảo ngày 08/9/2025.</w:t>
      </w:r>
    </w:p>
    <w:tbl>
      <w:tblPr>
        <w:tblW w:type="auto" w:w="0"/>
        <w:jc w:val="center"/>
        <w:tblLayout w:type="fixed"/>
        <w:tblLook w:firstColumn="1" w:firstRow="1" w:lastColumn="0" w:lastRow="0" w:noHBand="0" w:noVBand="1" w:val="04A0"/>
      </w:tblPr>
      <w:tblGrid>
        <w:gridCol w:w="4701"/>
        <w:gridCol w:w="4701"/>
      </w:tblGrid>
      <w:tr>
        <w:tc>
          <w:tcPr>
            <w:tcW w:type="dxa" w:w="4608"/>
          </w:tcPr>
          <w:p>
            <w:pPr>
              <w:spacing w:after="40"/>
            </w:pPr>
            <w:r>
              <w:rPr>
                <w:rFonts w:ascii="Times New Roman" w:hAnsi="Times New Roman"/>
                <w:b/>
                <w:i/>
                <w:sz w:val="24"/>
              </w:rPr>
              <w:t>Nơi nhận:</w:t>
              <w:br/>
            </w:r>
            <w:r>
              <w:rPr>
                <w:rFonts w:ascii="Times New Roman" w:hAnsi="Times New Roman"/>
                <w:sz w:val="22"/>
              </w:rPr>
              <w:t>- Thành viên BST;</w:t>
              <w:br/>
              <w:t>- Lưu VT, TCHCQT.</w:t>
            </w:r>
          </w:p>
        </w:tc>
        <w:tc>
          <w:tcPr>
            <w:tcW w:type="dxa" w:w="4752"/>
          </w:tcPr>
          <w:p>
            <w:pPr>
              <w:spacing w:after="800"/>
              <w:jc w:val="center"/>
            </w:pPr>
            <w:r>
              <w:rPr>
                <w:rFonts w:ascii="Times New Roman" w:hAnsi="Times New Roman"/>
                <w:b/>
                <w:sz w:val="26"/>
              </w:rPr>
              <w:t>HIỆU TRƯỜNG</w:t>
              <w:br/>
            </w:r>
            <w:r>
              <w:rPr>
                <w:rFonts w:ascii="Times New Roman" w:hAnsi="Times New Roman"/>
                <w:i/>
                <w:sz w:val="22"/>
              </w:rPr>
              <w:t>(Đã ký và đóng dấu)</w:t>
            </w:r>
          </w:p>
          <w:p>
            <w:pPr>
              <w:jc w:val="center"/>
            </w:pPr>
            <w:r>
              <w:rPr>
                <w:rFonts w:ascii="Times New Roman" w:hAnsi="Times New Roman"/>
                <w:b/>
                <w:sz w:val="26"/>
              </w:rPr>
              <w:t>TS. Trần Bá Uẩn</w:t>
            </w:r>
          </w:p>
        </w:tc>
      </w:tr>
    </w:tbl>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