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color w:val="1B365D"/>
          <w:sz w:val="32"/>
        </w:rPr>
        <w:t>BẢNG SO SÁNH ĐIỂM KHÁC BIỆT GIỮA QUY CHẾ TỔ CHỨC &amp; HOẠT ĐỘNG CỦA TRƯỜNG CAO ĐẲNG ĐIỆN BIÊN VỚI THÔNG TƯ 63/2026/TT-BGDĐT</w:t>
      </w:r>
    </w:p>
    <w:p>
      <w:pPr>
        <w:spacing w:after="280"/>
        <w:jc w:val="center"/>
      </w:pPr>
      <w:r>
        <w:rPr>
          <w:i/>
          <w:color w:val="505050"/>
          <w:sz w:val="22"/>
        </w:rPr>
        <w:t>(So sánh Quy chế ban hành theo QĐ 36/QĐ-CĐĐB dựa trên Thông tư 15/2021/TT-BLĐTBXH với Điều lệ trường trung cấp, cao đẳng mới ban hành theo Thông tư 63/2026/TT-BGDĐT)</w:t>
      </w:r>
    </w:p>
    <w:p>
      <w:pPr>
        <w:pStyle w:val="Heading1"/>
        <w:spacing w:before="240" w:after="120"/>
      </w:pPr>
      <w:r>
        <w:rPr>
          <w:rFonts w:ascii="Times New Roman" w:hAnsi="Times New Roman"/>
          <w:b/>
          <w:color w:val="1B365D"/>
          <w:sz w:val="26"/>
        </w:rPr>
        <w:t>I. TỔNG QUAN VỀ BỐI CẢNH PHÁP LÝ VÀ SỰ CẦN THIẾT RÀ SOÁT</w:t>
      </w:r>
    </w:p>
    <w:p>
      <w:pPr>
        <w:spacing w:after="160" w:line="276" w:lineRule="auto"/>
      </w:pPr>
      <w:r>
        <w:rPr>
          <w:rFonts w:ascii="Times New Roman" w:hAnsi="Times New Roman"/>
        </w:rPr>
        <w:t xml:space="preserve">Trường Cao đẳng Điện Biên hiện đang vận hành theo Quy chế Tổ chức và Hoạt động ban hành theo Quyết định số 36/QĐ-CĐĐB ngày 08/9/2025, dựa trên căn cứ pháp lý cốt lõi là Thông tư số 15/2021/TT-BLĐTBXH của Bộ Lao động - Thương binh và Xã hội. Ngày 30/7/2026, Bộ trưởng Bộ Giáo dục và Đào tạo đã ban hành </w:t>
      </w:r>
      <w:r>
        <w:rPr>
          <w:b/>
        </w:rPr>
        <w:t>Thông tư số 63/2026/TT-BGDĐT</w:t>
      </w:r>
      <w:r>
        <w:t xml:space="preserve"> ban hành Điều lệ trường trung cấp, trường cao đẳng (có hiệu lực từ ngày 14/9/2026) thay thế Thông tư 15/2021/TT-BLĐTBXH. Theo quy định tại Điều 3 Thông tư 63/2026/TT-BGDĐT, trong thời hạn 60 ngày kể từ ngày Thông tư có hiệu lực, Nhà trường có trách nhiệm rà soát, sửa đổi, ban hành Quy chế tổ chức, hoạt động mới cho phù hợp.</w:t>
      </w:r>
    </w:p>
    <w:p>
      <w:pPr>
        <w:pStyle w:val="Heading1"/>
        <w:spacing w:before="280" w:after="120"/>
      </w:pPr>
      <w:r>
        <w:rPr>
          <w:rFonts w:ascii="Times New Roman" w:hAnsi="Times New Roman"/>
          <w:b/>
          <w:color w:val="1B365D"/>
          <w:sz w:val="26"/>
        </w:rPr>
        <w:t>II. BẢNG SO SÁNH CHI TIẾT CÁC ĐIỂM KHÁC BIỆT TRỌNG TÂM</w:t>
      </w:r>
    </w:p>
    <w:tbl>
      <w:tblPr>
        <w:tblW w:type="auto" w:w="0"/>
        <w:jc w:val="center"/>
        <w:tblLayout w:type="fixed"/>
        <w:tblLook w:firstColumn="1" w:firstRow="1" w:lastColumn="0" w:lastRow="0" w:noHBand="0" w:noVBand="1" w:val="04A0"/>
      </w:tblPr>
      <w:tblGrid>
        <w:gridCol w:w="3384"/>
        <w:gridCol w:w="3384"/>
        <w:gridCol w:w="3384"/>
        <w:gridCol w:w="3384"/>
      </w:tblGrid>
      <w:tr>
        <w:tc>
          <w:tcPr>
            <w:tcW w:type="dxa" w:w="2592"/>
            <w:shd w:fill="1B365D" w:val="clear"/>
            <w:tcMar>
              <w:top w:w="120" w:type="dxa"/>
              <w:bottom w:w="120" w:type="dxa"/>
              <w:left w:w="120" w:type="dxa"/>
              <w:right w:w="120" w:type="dxa"/>
            </w:tcMar>
          </w:tcPr>
          <w:p>
            <w:pPr>
              <w:jc w:val="center"/>
            </w:pPr>
            <w:r>
              <w:rPr>
                <w:rFonts w:ascii="Times New Roman" w:hAnsi="Times New Roman"/>
                <w:b/>
                <w:color w:val="FFFFFF"/>
                <w:sz w:val="21"/>
              </w:rPr>
              <w:t>Tiêu chí so sánh</w:t>
            </w:r>
          </w:p>
        </w:tc>
        <w:tc>
          <w:tcPr>
            <w:tcW w:type="dxa" w:w="3744"/>
            <w:shd w:fill="1B365D" w:val="clear"/>
            <w:tcMar>
              <w:top w:w="120" w:type="dxa"/>
              <w:bottom w:w="120" w:type="dxa"/>
              <w:left w:w="120" w:type="dxa"/>
              <w:right w:w="120" w:type="dxa"/>
            </w:tcMar>
          </w:tcPr>
          <w:p>
            <w:pPr>
              <w:jc w:val="center"/>
            </w:pPr>
            <w:r>
              <w:rPr>
                <w:rFonts w:ascii="Times New Roman" w:hAnsi="Times New Roman"/>
                <w:b/>
                <w:color w:val="FFFFFF"/>
                <w:sz w:val="21"/>
              </w:rPr>
              <w:t>Quy chế CĐĐB hiện hành (QĐ 36/QĐ-CĐĐB - TT 15)</w:t>
            </w:r>
          </w:p>
        </w:tc>
        <w:tc>
          <w:tcPr>
            <w:tcW w:type="dxa" w:w="3744"/>
            <w:shd w:fill="1B365D" w:val="clear"/>
            <w:tcMar>
              <w:top w:w="120" w:type="dxa"/>
              <w:bottom w:w="120" w:type="dxa"/>
              <w:left w:w="120" w:type="dxa"/>
              <w:right w:w="120" w:type="dxa"/>
            </w:tcMar>
          </w:tcPr>
          <w:p>
            <w:pPr>
              <w:jc w:val="center"/>
            </w:pPr>
            <w:r>
              <w:rPr>
                <w:rFonts w:ascii="Times New Roman" w:hAnsi="Times New Roman"/>
                <w:b/>
                <w:color w:val="FFFFFF"/>
                <w:sz w:val="21"/>
              </w:rPr>
              <w:t>Điều lệ mới theo Thông tư 63/2026/TT-BGDĐT</w:t>
            </w:r>
          </w:p>
        </w:tc>
        <w:tc>
          <w:tcPr>
            <w:tcW w:type="dxa" w:w="3456"/>
            <w:shd w:fill="1B365D" w:val="clear"/>
            <w:tcMar>
              <w:top w:w="120" w:type="dxa"/>
              <w:bottom w:w="120" w:type="dxa"/>
              <w:left w:w="120" w:type="dxa"/>
              <w:right w:w="120" w:type="dxa"/>
            </w:tcMar>
          </w:tcPr>
          <w:p>
            <w:pPr>
              <w:jc w:val="center"/>
            </w:pPr>
            <w:r>
              <w:rPr>
                <w:rFonts w:ascii="Times New Roman" w:hAnsi="Times New Roman"/>
                <w:b/>
                <w:color w:val="FFFFFF"/>
                <w:sz w:val="21"/>
              </w:rPr>
              <w:t>Ghi chú / Tác động điều chỉnh</w:t>
            </w:r>
          </w:p>
        </w:tc>
      </w:tr>
      <w:tr>
        <w:tc>
          <w:tcPr>
            <w:tcW w:type="dxa" w:w="2592"/>
            <w:shd w:fill="FFFFFF" w:val="clear"/>
            <w:tcMar>
              <w:top w:w="100" w:type="dxa"/>
              <w:bottom w:w="100" w:type="dxa"/>
              <w:left w:w="110" w:type="dxa"/>
              <w:right w:w="110" w:type="dxa"/>
            </w:tcMar>
          </w:tcPr>
          <w:p>
            <w:pPr>
              <w:spacing w:line="276" w:lineRule="auto" w:after="40"/>
            </w:pPr>
            <w:r>
              <w:rPr>
                <w:rFonts w:ascii="Times New Roman" w:hAnsi="Times New Roman"/>
                <w:b/>
                <w:color w:val="1B365D"/>
                <w:sz w:val="20"/>
              </w:rPr>
              <w:t>Cơ quan quản lý nhà nước về GDNN</w:t>
            </w:r>
          </w:p>
        </w:tc>
        <w:tc>
          <w:tcPr>
            <w:tcW w:type="dxa" w:w="3744"/>
            <w:shd w:fill="FFFFFF" w:val="clear"/>
            <w:tcMar>
              <w:top w:w="100" w:type="dxa"/>
              <w:bottom w:w="100" w:type="dxa"/>
              <w:left w:w="110" w:type="dxa"/>
              <w:right w:w="110" w:type="dxa"/>
            </w:tcMar>
          </w:tcPr>
          <w:p>
            <w:pPr>
              <w:spacing w:line="276" w:lineRule="auto" w:after="40"/>
            </w:pPr>
            <w:r>
              <w:rPr>
                <w:rFonts w:ascii="Times New Roman" w:hAnsi="Times New Roman"/>
                <w:sz w:val="20"/>
              </w:rPr>
              <w:t>Bộ Lao động - Thương binh và Xã hội (BLĐTBXH) quản lý nhà nước về giáo dục nghề nghiệp; Sở Lao động - TB&amp;XH / Sở GD&amp;ĐT tỉnh Điện Biên.</w:t>
            </w:r>
          </w:p>
        </w:tc>
        <w:tc>
          <w:tcPr>
            <w:tcW w:type="dxa" w:w="3744"/>
            <w:shd w:fill="FFFFFF" w:val="clear"/>
            <w:tcMar>
              <w:top w:w="100" w:type="dxa"/>
              <w:bottom w:w="100" w:type="dxa"/>
              <w:left w:w="110" w:type="dxa"/>
              <w:right w:w="110" w:type="dxa"/>
            </w:tcMar>
          </w:tcPr>
          <w:p>
            <w:pPr>
              <w:spacing w:line="276" w:lineRule="auto" w:after="40"/>
            </w:pPr>
            <w:r>
              <w:rPr>
                <w:rFonts w:ascii="Times New Roman" w:hAnsi="Times New Roman"/>
                <w:sz w:val="20"/>
              </w:rPr>
              <w:t>Bộ Giáo dục và Đào tạo (BGDĐT) thống nhất quản lý nhà nước về giáo dục nghề nghiệp đối với trường trung cấp, cao đẳng; Cục Giáo dục nghề nghiệp và Giáo dục thường xuyên thuộc BGDĐT.</w:t>
            </w:r>
          </w:p>
        </w:tc>
        <w:tc>
          <w:tcPr>
            <w:tcW w:type="dxa" w:w="3456"/>
            <w:shd w:fill="FFFFFF" w:val="clear"/>
            <w:tcMar>
              <w:top w:w="100" w:type="dxa"/>
              <w:bottom w:w="100" w:type="dxa"/>
              <w:left w:w="110" w:type="dxa"/>
              <w:right w:w="110" w:type="dxa"/>
            </w:tcMar>
          </w:tcPr>
          <w:p>
            <w:pPr>
              <w:spacing w:line="276" w:lineRule="auto" w:after="40"/>
            </w:pPr>
            <w:r>
              <w:rPr>
                <w:rFonts w:ascii="Times New Roman" w:hAnsi="Times New Roman"/>
                <w:sz w:val="20"/>
              </w:rPr>
              <w:t>Thay đổi toàn bộ cơ quan quản lý chuyên môn, quy chuẩn sổ sách, biểu mẫu, bằng cấp chứng chỉ và quy trình báo cáo.</w:t>
            </w:r>
          </w:p>
        </w:tc>
      </w:tr>
      <w:tr>
        <w:tc>
          <w:tcPr>
            <w:tcW w:type="dxa" w:w="2592"/>
            <w:shd w:fill="F4F6F9" w:val="clear"/>
            <w:tcMar>
              <w:top w:w="100" w:type="dxa"/>
              <w:bottom w:w="100" w:type="dxa"/>
              <w:left w:w="110" w:type="dxa"/>
              <w:right w:w="110" w:type="dxa"/>
            </w:tcMar>
          </w:tcPr>
          <w:p>
            <w:pPr>
              <w:spacing w:line="276" w:lineRule="auto" w:after="40"/>
            </w:pPr>
            <w:r>
              <w:rPr>
                <w:rFonts w:ascii="Times New Roman" w:hAnsi="Times New Roman"/>
                <w:b/>
                <w:color w:val="1B365D"/>
                <w:sz w:val="20"/>
              </w:rPr>
              <w:t>Căn cứ pháp lý Điều lệ chung</w:t>
            </w:r>
          </w:p>
        </w:tc>
        <w:tc>
          <w:tcPr>
            <w:tcW w:type="dxa" w:w="3744"/>
            <w:shd w:fill="F4F6F9" w:val="clear"/>
            <w:tcMar>
              <w:top w:w="100" w:type="dxa"/>
              <w:bottom w:w="100" w:type="dxa"/>
              <w:left w:w="110" w:type="dxa"/>
              <w:right w:w="110" w:type="dxa"/>
            </w:tcMar>
          </w:tcPr>
          <w:p>
            <w:pPr>
              <w:spacing w:line="276" w:lineRule="auto" w:after="40"/>
            </w:pPr>
            <w:r>
              <w:rPr>
                <w:rFonts w:ascii="Times New Roman" w:hAnsi="Times New Roman"/>
                <w:sz w:val="20"/>
              </w:rPr>
              <w:t>Căn cứ Thông tư số 15/2021/TT-BLĐTBXH ngày 21/10/2021 của Bộ LĐ-TB&amp;XH ban hành Điều lệ trường cao đẳng.</w:t>
            </w:r>
          </w:p>
        </w:tc>
        <w:tc>
          <w:tcPr>
            <w:tcW w:type="dxa" w:w="3744"/>
            <w:shd w:fill="F4F6F9" w:val="clear"/>
            <w:tcMar>
              <w:top w:w="100" w:type="dxa"/>
              <w:bottom w:w="100" w:type="dxa"/>
              <w:left w:w="110" w:type="dxa"/>
              <w:right w:w="110" w:type="dxa"/>
            </w:tcMar>
          </w:tcPr>
          <w:p>
            <w:pPr>
              <w:spacing w:line="276" w:lineRule="auto" w:after="40"/>
            </w:pPr>
            <w:r>
              <w:rPr>
                <w:rFonts w:ascii="Times New Roman" w:hAnsi="Times New Roman"/>
                <w:sz w:val="20"/>
              </w:rPr>
              <w:t>Căn cứ Thông tư số 63/2026/TT-BGDĐT ngày 30/7/2026 của Bộ GD&amp;ĐT ban hành Điều lệ trường trung cấp, trường cao đẳng (thay thế TT 15/2021/TT-BLĐTBXH).</w:t>
            </w:r>
          </w:p>
        </w:tc>
        <w:tc>
          <w:tcPr>
            <w:tcW w:type="dxa" w:w="3456"/>
            <w:shd w:fill="F4F6F9" w:val="clear"/>
            <w:tcMar>
              <w:top w:w="100" w:type="dxa"/>
              <w:bottom w:w="100" w:type="dxa"/>
              <w:left w:w="110" w:type="dxa"/>
              <w:right w:w="110" w:type="dxa"/>
            </w:tcMar>
          </w:tcPr>
          <w:p>
            <w:pPr>
              <w:spacing w:line="276" w:lineRule="auto" w:after="40"/>
            </w:pPr>
            <w:r>
              <w:rPr>
                <w:rFonts w:ascii="Times New Roman" w:hAnsi="Times New Roman"/>
                <w:sz w:val="20"/>
              </w:rPr>
              <w:t>Cần cập nhật lại toàn bộ căn cứ pháp lý trong Quy chế nội bộ của Nhà trường.</w:t>
            </w:r>
          </w:p>
        </w:tc>
      </w:tr>
      <w:tr>
        <w:tc>
          <w:tcPr>
            <w:tcW w:type="dxa" w:w="2592"/>
            <w:shd w:fill="FFFFFF" w:val="clear"/>
            <w:tcMar>
              <w:top w:w="100" w:type="dxa"/>
              <w:bottom w:w="100" w:type="dxa"/>
              <w:left w:w="110" w:type="dxa"/>
              <w:right w:w="110" w:type="dxa"/>
            </w:tcMar>
          </w:tcPr>
          <w:p>
            <w:pPr>
              <w:spacing w:line="276" w:lineRule="auto" w:after="40"/>
            </w:pPr>
            <w:r>
              <w:rPr>
                <w:rFonts w:ascii="Times New Roman" w:hAnsi="Times New Roman"/>
                <w:b/>
                <w:color w:val="1B365D"/>
                <w:sz w:val="20"/>
              </w:rPr>
              <w:t>Hội đồng trường (Thẩm quyền &amp; Cơ cấu)</w:t>
            </w:r>
          </w:p>
        </w:tc>
        <w:tc>
          <w:tcPr>
            <w:tcW w:type="dxa" w:w="3744"/>
            <w:shd w:fill="FFFFFF" w:val="clear"/>
            <w:tcMar>
              <w:top w:w="100" w:type="dxa"/>
              <w:bottom w:w="100" w:type="dxa"/>
              <w:left w:w="110" w:type="dxa"/>
              <w:right w:w="110" w:type="dxa"/>
            </w:tcMar>
          </w:tcPr>
          <w:p>
            <w:pPr>
              <w:spacing w:line="276" w:lineRule="auto" w:after="40"/>
            </w:pPr>
            <w:r>
              <w:rPr>
                <w:rFonts w:ascii="Times New Roman" w:hAnsi="Times New Roman"/>
                <w:sz w:val="20"/>
              </w:rPr>
              <w:t>Trong thực tế thảo luận soạn thảo Quy chế 2025 (Biên bản 35/BB-CĐĐB), Nhà trường chưa thành lập Hội đồng trường và đã bỏ nội dung các điều về Hội đồng trường.</w:t>
            </w:r>
          </w:p>
        </w:tc>
        <w:tc>
          <w:tcPr>
            <w:tcW w:type="dxa" w:w="3744"/>
            <w:shd w:fill="FFFFFF" w:val="clear"/>
            <w:tcMar>
              <w:top w:w="100" w:type="dxa"/>
              <w:bottom w:w="100" w:type="dxa"/>
              <w:left w:w="110" w:type="dxa"/>
              <w:right w:w="110" w:type="dxa"/>
            </w:tcMar>
          </w:tcPr>
          <w:p>
            <w:pPr>
              <w:spacing w:line="276" w:lineRule="auto" w:after="40"/>
            </w:pPr>
            <w:r>
              <w:rPr>
                <w:rFonts w:ascii="Times New Roman" w:hAnsi="Times New Roman"/>
                <w:sz w:val="20"/>
              </w:rPr>
              <w:t>Điều 15 Thông tư 63 quy định cụ thể Hội đồng trường là cơ quan quản trị, đại diện quyền sở hữu của trường (đặc biệt đối với trường tư thục); quy định rõ thành lập, chức năng, nhiệm vụ giám sát.</w:t>
            </w:r>
          </w:p>
        </w:tc>
        <w:tc>
          <w:tcPr>
            <w:tcW w:type="dxa" w:w="3456"/>
            <w:shd w:fill="FFFFFF" w:val="clear"/>
            <w:tcMar>
              <w:top w:w="100" w:type="dxa"/>
              <w:bottom w:w="100" w:type="dxa"/>
              <w:left w:w="110" w:type="dxa"/>
              <w:right w:w="110" w:type="dxa"/>
            </w:tcMar>
          </w:tcPr>
          <w:p>
            <w:pPr>
              <w:spacing w:line="276" w:lineRule="auto" w:after="40"/>
            </w:pPr>
            <w:r>
              <w:rPr>
                <w:rFonts w:ascii="Times New Roman" w:hAnsi="Times New Roman"/>
                <w:sz w:val="20"/>
              </w:rPr>
              <w:t>Trường công lập cần rà soát quy định về Hội đồng trường theo quy định phân cấp của tỉnh Điện Biên và Điều 15 Thông tư 63.</w:t>
            </w:r>
          </w:p>
        </w:tc>
      </w:tr>
      <w:tr>
        <w:tc>
          <w:tcPr>
            <w:tcW w:type="dxa" w:w="2592"/>
            <w:shd w:fill="F4F6F9" w:val="clear"/>
            <w:tcMar>
              <w:top w:w="100" w:type="dxa"/>
              <w:bottom w:w="100" w:type="dxa"/>
              <w:left w:w="110" w:type="dxa"/>
              <w:right w:w="110" w:type="dxa"/>
            </w:tcMar>
          </w:tcPr>
          <w:p>
            <w:pPr>
              <w:spacing w:line="276" w:lineRule="auto" w:after="40"/>
            </w:pPr>
            <w:r>
              <w:rPr>
                <w:rFonts w:ascii="Times New Roman" w:hAnsi="Times New Roman"/>
                <w:b/>
                <w:color w:val="1B365D"/>
                <w:sz w:val="20"/>
              </w:rPr>
              <w:t>Cơ cấu tổ chức &amp; Cấp phó các đơn vị</w:t>
            </w:r>
          </w:p>
        </w:tc>
        <w:tc>
          <w:tcPr>
            <w:tcW w:type="dxa" w:w="3744"/>
            <w:shd w:fill="F4F6F9" w:val="clear"/>
            <w:tcMar>
              <w:top w:w="100" w:type="dxa"/>
              <w:bottom w:w="100" w:type="dxa"/>
              <w:left w:w="110" w:type="dxa"/>
              <w:right w:w="110" w:type="dxa"/>
            </w:tcMar>
          </w:tcPr>
          <w:p>
            <w:pPr>
              <w:spacing w:line="276" w:lineRule="auto" w:after="40"/>
            </w:pPr>
            <w:r>
              <w:rPr>
                <w:rFonts w:ascii="Times New Roman" w:hAnsi="Times New Roman"/>
                <w:sz w:val="20"/>
              </w:rPr>
              <w:t>Quy định Ban Giám hiệu (Hiệu trưởng, không quá 3 Phó HT); 4 Phòng chức năng; 8 Khoa đào tạo (chia chi tiết mảng công việc từng ngành nghề); 3 Đơn vị trực thuộc.</w:t>
            </w:r>
          </w:p>
        </w:tc>
        <w:tc>
          <w:tcPr>
            <w:tcW w:type="dxa" w:w="3744"/>
            <w:shd w:fill="F4F6F9" w:val="clear"/>
            <w:tcMar>
              <w:top w:w="100" w:type="dxa"/>
              <w:bottom w:w="100" w:type="dxa"/>
              <w:left w:w="110" w:type="dxa"/>
              <w:right w:w="110" w:type="dxa"/>
            </w:tcMar>
          </w:tcPr>
          <w:p>
            <w:pPr>
              <w:spacing w:line="276" w:lineRule="auto" w:after="40"/>
            </w:pPr>
            <w:r>
              <w:rPr>
                <w:rFonts w:ascii="Times New Roman" w:hAnsi="Times New Roman"/>
                <w:sz w:val="20"/>
              </w:rPr>
              <w:t>Quy định khung cơ cấu tổ chức theo Luật GDNN và khung đơn vị sự nghiệp công lập; quy định cụ thể số lượng Phó trưởng phòng/khoa (7-9 viên chức bố trí 01 Phó; từ 10 viên chức trở lên không quá 02 Phó).</w:t>
            </w:r>
          </w:p>
        </w:tc>
        <w:tc>
          <w:tcPr>
            <w:tcW w:type="dxa" w:w="3456"/>
            <w:shd w:fill="F4F6F9" w:val="clear"/>
            <w:tcMar>
              <w:top w:w="100" w:type="dxa"/>
              <w:bottom w:w="100" w:type="dxa"/>
              <w:left w:w="110" w:type="dxa"/>
              <w:right w:w="110" w:type="dxa"/>
            </w:tcMar>
          </w:tcPr>
          <w:p>
            <w:pPr>
              <w:spacing w:line="276" w:lineRule="auto" w:after="40"/>
            </w:pPr>
            <w:r>
              <w:rPr>
                <w:rFonts w:ascii="Times New Roman" w:hAnsi="Times New Roman"/>
                <w:sz w:val="20"/>
              </w:rPr>
              <w:t>Sắp xếp số lượng cấp phó các Khoa/Phòng chặt chẽ theo đúng biên chế viên chức thực tế.</w:t>
            </w:r>
          </w:p>
        </w:tc>
      </w:tr>
      <w:tr>
        <w:tc>
          <w:tcPr>
            <w:tcW w:type="dxa" w:w="2592"/>
            <w:shd w:fill="FFFFFF" w:val="clear"/>
            <w:tcMar>
              <w:top w:w="100" w:type="dxa"/>
              <w:bottom w:w="100" w:type="dxa"/>
              <w:left w:w="110" w:type="dxa"/>
              <w:right w:w="110" w:type="dxa"/>
            </w:tcMar>
          </w:tcPr>
          <w:p>
            <w:pPr>
              <w:spacing w:line="276" w:lineRule="auto" w:after="40"/>
            </w:pPr>
            <w:r>
              <w:rPr>
                <w:rFonts w:ascii="Times New Roman" w:hAnsi="Times New Roman"/>
                <w:b/>
                <w:color w:val="1B365D"/>
                <w:sz w:val="20"/>
              </w:rPr>
              <w:t>Tuyển sinh &amp; Đào tạo văn hóa THPT / GDTX</w:t>
            </w:r>
          </w:p>
        </w:tc>
        <w:tc>
          <w:tcPr>
            <w:tcW w:type="dxa" w:w="3744"/>
            <w:shd w:fill="FFFFFF" w:val="clear"/>
            <w:tcMar>
              <w:top w:w="100" w:type="dxa"/>
              <w:bottom w:w="100" w:type="dxa"/>
              <w:left w:w="110" w:type="dxa"/>
              <w:right w:w="110" w:type="dxa"/>
            </w:tcMar>
          </w:tcPr>
          <w:p>
            <w:pPr>
              <w:spacing w:line="276" w:lineRule="auto" w:after="40"/>
            </w:pPr>
            <w:r>
              <w:rPr>
                <w:rFonts w:ascii="Times New Roman" w:hAnsi="Times New Roman"/>
                <w:sz w:val="20"/>
              </w:rPr>
              <w:t>Đào tạo văn hóa THPT cho học sinh tốt nghiệp THCS học trung cấp theo Luật Giáo dục; liên kết GDTX cấp THPT.</w:t>
            </w:r>
          </w:p>
        </w:tc>
        <w:tc>
          <w:tcPr>
            <w:tcW w:type="dxa" w:w="3744"/>
            <w:shd w:fill="FFFFFF" w:val="clear"/>
            <w:tcMar>
              <w:top w:w="100" w:type="dxa"/>
              <w:bottom w:w="100" w:type="dxa"/>
              <w:left w:w="110" w:type="dxa"/>
              <w:right w:w="110" w:type="dxa"/>
            </w:tcMar>
          </w:tcPr>
          <w:p>
            <w:pPr>
              <w:spacing w:line="276" w:lineRule="auto" w:after="40"/>
            </w:pPr>
            <w:r>
              <w:rPr>
                <w:rFonts w:ascii="Times New Roman" w:hAnsi="Times New Roman"/>
                <w:sz w:val="20"/>
              </w:rPr>
              <w:t>Quy định rõ tự chủ xác định chỉ tiêu tuyển sinh; giảng dạy khối lượng kiến thức văn hóa THPT và tổ chức chương trình GDTX cấp THPT khi được cơ quan quản lý nhà nước về giáo dục cho phép.</w:t>
            </w:r>
          </w:p>
        </w:tc>
        <w:tc>
          <w:tcPr>
            <w:tcW w:type="dxa" w:w="3456"/>
            <w:shd w:fill="FFFFFF" w:val="clear"/>
            <w:tcMar>
              <w:top w:w="100" w:type="dxa"/>
              <w:bottom w:w="100" w:type="dxa"/>
              <w:left w:w="110" w:type="dxa"/>
              <w:right w:w="110" w:type="dxa"/>
            </w:tcMar>
          </w:tcPr>
          <w:p>
            <w:pPr>
              <w:spacing w:line="276" w:lineRule="auto" w:after="40"/>
            </w:pPr>
            <w:r>
              <w:rPr>
                <w:rFonts w:ascii="Times New Roman" w:hAnsi="Times New Roman"/>
                <w:sz w:val="20"/>
              </w:rPr>
              <w:t>Chuẩn hóa chương trình giảng dạy văn hóa THPT và các tổ chức liên kết đào tạo theo hướng dẫn của Bộ GD&amp;ĐT.</w:t>
            </w:r>
          </w:p>
        </w:tc>
      </w:tr>
      <w:tr>
        <w:tc>
          <w:tcPr>
            <w:tcW w:type="dxa" w:w="2592"/>
            <w:shd w:fill="F4F6F9" w:val="clear"/>
            <w:tcMar>
              <w:top w:w="100" w:type="dxa"/>
              <w:bottom w:w="100" w:type="dxa"/>
              <w:left w:w="110" w:type="dxa"/>
              <w:right w:w="110" w:type="dxa"/>
            </w:tcMar>
          </w:tcPr>
          <w:p>
            <w:pPr>
              <w:spacing w:line="276" w:lineRule="auto" w:after="40"/>
            </w:pPr>
            <w:r>
              <w:rPr>
                <w:rFonts w:ascii="Times New Roman" w:hAnsi="Times New Roman"/>
                <w:b/>
                <w:color w:val="1B365D"/>
                <w:sz w:val="20"/>
              </w:rPr>
              <w:t>Chuyển đổi số &amp; Cơ sở dữ liệu</w:t>
            </w:r>
          </w:p>
        </w:tc>
        <w:tc>
          <w:tcPr>
            <w:tcW w:type="dxa" w:w="3744"/>
            <w:shd w:fill="F4F6F9" w:val="clear"/>
            <w:tcMar>
              <w:top w:w="100" w:type="dxa"/>
              <w:bottom w:w="100" w:type="dxa"/>
              <w:left w:w="110" w:type="dxa"/>
              <w:right w:w="110" w:type="dxa"/>
            </w:tcMar>
          </w:tcPr>
          <w:p>
            <w:pPr>
              <w:spacing w:line="276" w:lineRule="auto" w:after="40"/>
            </w:pPr>
            <w:r>
              <w:rPr>
                <w:rFonts w:ascii="Times New Roman" w:hAnsi="Times New Roman"/>
                <w:sz w:val="20"/>
              </w:rPr>
              <w:t>Chủ yếu quản lý sổ sách đào tạo và lưu trữ tài liệu truyền thống; ứng dụng CNTT ở mức độ quản lý nội bộ.</w:t>
            </w:r>
          </w:p>
        </w:tc>
        <w:tc>
          <w:tcPr>
            <w:tcW w:type="dxa" w:w="3744"/>
            <w:shd w:fill="F4F6F9" w:val="clear"/>
            <w:tcMar>
              <w:top w:w="100" w:type="dxa"/>
              <w:bottom w:w="100" w:type="dxa"/>
              <w:left w:w="110" w:type="dxa"/>
              <w:right w:w="110" w:type="dxa"/>
            </w:tcMar>
          </w:tcPr>
          <w:p>
            <w:pPr>
              <w:spacing w:line="276" w:lineRule="auto" w:after="40"/>
            </w:pPr>
            <w:r>
              <w:rPr>
                <w:rFonts w:ascii="Times New Roman" w:hAnsi="Times New Roman"/>
                <w:sz w:val="20"/>
              </w:rPr>
              <w:t>Nhấn mạnh ứng dụng công nghệ số trong quản trị, đào tạo; quản lý, kết nối, liên thông hồ sơ điện tử có giá trị pháp lý tương đương hồ sơ giấy (Điều 12); bảo mật dữ liệu học liệu số.</w:t>
            </w:r>
          </w:p>
        </w:tc>
        <w:tc>
          <w:tcPr>
            <w:tcW w:type="dxa" w:w="3456"/>
            <w:shd w:fill="F4F6F9" w:val="clear"/>
            <w:tcMar>
              <w:top w:w="100" w:type="dxa"/>
              <w:bottom w:w="100" w:type="dxa"/>
              <w:left w:w="110" w:type="dxa"/>
              <w:right w:w="110" w:type="dxa"/>
            </w:tcMar>
          </w:tcPr>
          <w:p>
            <w:pPr>
              <w:spacing w:line="276" w:lineRule="auto" w:after="40"/>
            </w:pPr>
            <w:r>
              <w:rPr>
                <w:rFonts w:ascii="Times New Roman" w:hAnsi="Times New Roman"/>
                <w:sz w:val="20"/>
              </w:rPr>
              <w:t>Bổ sung quy định về quản lý hồ sơ điện tử, học liệu số và hạ tầng công nghệ thông tin trong Quy chế mới.</w:t>
            </w:r>
          </w:p>
        </w:tc>
      </w:tr>
      <w:tr>
        <w:tc>
          <w:tcPr>
            <w:tcW w:type="dxa" w:w="2592"/>
            <w:shd w:fill="FFFFFF" w:val="clear"/>
            <w:tcMar>
              <w:top w:w="100" w:type="dxa"/>
              <w:bottom w:w="100" w:type="dxa"/>
              <w:left w:w="110" w:type="dxa"/>
              <w:right w:w="110" w:type="dxa"/>
            </w:tcMar>
          </w:tcPr>
          <w:p>
            <w:pPr>
              <w:spacing w:line="276" w:lineRule="auto" w:after="40"/>
            </w:pPr>
            <w:r>
              <w:rPr>
                <w:rFonts w:ascii="Times New Roman" w:hAnsi="Times New Roman"/>
                <w:b/>
                <w:color w:val="1B365D"/>
                <w:sz w:val="20"/>
              </w:rPr>
              <w:t>Mối quan hệ với Doanh nghiệp &amp; Xã hội</w:t>
            </w:r>
          </w:p>
        </w:tc>
        <w:tc>
          <w:tcPr>
            <w:tcW w:type="dxa" w:w="3744"/>
            <w:shd w:fill="FFFFFF" w:val="clear"/>
            <w:tcMar>
              <w:top w:w="100" w:type="dxa"/>
              <w:bottom w:w="100" w:type="dxa"/>
              <w:left w:w="110" w:type="dxa"/>
              <w:right w:w="110" w:type="dxa"/>
            </w:tcMar>
          </w:tcPr>
          <w:p>
            <w:pPr>
              <w:spacing w:line="276" w:lineRule="auto" w:after="40"/>
            </w:pPr>
            <w:r>
              <w:rPr>
                <w:rFonts w:ascii="Times New Roman" w:hAnsi="Times New Roman"/>
                <w:sz w:val="20"/>
              </w:rPr>
              <w:t>Phối hợp với doanh nghiệp trong xây dựng chương trình, hướng dẫn thực tập, tư vấn tuyển sinh và việc làm.</w:t>
            </w:r>
          </w:p>
        </w:tc>
        <w:tc>
          <w:tcPr>
            <w:tcW w:type="dxa" w:w="3744"/>
            <w:shd w:fill="FFFFFF" w:val="clear"/>
            <w:tcMar>
              <w:top w:w="100" w:type="dxa"/>
              <w:bottom w:w="100" w:type="dxa"/>
              <w:left w:w="110" w:type="dxa"/>
              <w:right w:w="110" w:type="dxa"/>
            </w:tcMar>
          </w:tcPr>
          <w:p>
            <w:pPr>
              <w:spacing w:line="276" w:lineRule="auto" w:after="40"/>
            </w:pPr>
            <w:r>
              <w:rPr>
                <w:rFonts w:ascii="Times New Roman" w:hAnsi="Times New Roman"/>
                <w:sz w:val="20"/>
              </w:rPr>
              <w:t>Mở rộng cơ chế cho doanh nghiệp và xã hội tham gia trực tiếp đánh giá chất lượng đào tạo, tham gia Hội đồng trường/Hội đồng tư vấn, đầu tư cơ sở vật chất (Điều 25, 26).</w:t>
            </w:r>
          </w:p>
        </w:tc>
        <w:tc>
          <w:tcPr>
            <w:tcW w:type="dxa" w:w="3456"/>
            <w:shd w:fill="FFFFFF" w:val="clear"/>
            <w:tcMar>
              <w:top w:w="100" w:type="dxa"/>
              <w:bottom w:w="100" w:type="dxa"/>
              <w:left w:w="110" w:type="dxa"/>
              <w:right w:w="110" w:type="dxa"/>
            </w:tcMar>
          </w:tcPr>
          <w:p>
            <w:pPr>
              <w:spacing w:line="276" w:lineRule="auto" w:after="40"/>
            </w:pPr>
            <w:r>
              <w:rPr>
                <w:rFonts w:ascii="Times New Roman" w:hAnsi="Times New Roman"/>
                <w:sz w:val="20"/>
              </w:rPr>
              <w:t>Bổ sung quy trình đánh giá chất lượng đào tạo từ phía doanh nghiệp và xã hội vào Quy chế nhà trường.</w:t>
            </w:r>
          </w:p>
        </w:tc>
      </w:tr>
      <w:tr>
        <w:tc>
          <w:tcPr>
            <w:tcW w:type="dxa" w:w="2592"/>
            <w:shd w:fill="F4F6F9" w:val="clear"/>
            <w:tcMar>
              <w:top w:w="100" w:type="dxa"/>
              <w:bottom w:w="100" w:type="dxa"/>
              <w:left w:w="110" w:type="dxa"/>
              <w:right w:w="110" w:type="dxa"/>
            </w:tcMar>
          </w:tcPr>
          <w:p>
            <w:pPr>
              <w:spacing w:line="276" w:lineRule="auto" w:after="40"/>
            </w:pPr>
            <w:r>
              <w:rPr>
                <w:rFonts w:ascii="Times New Roman" w:hAnsi="Times New Roman"/>
                <w:b/>
                <w:color w:val="1B365D"/>
                <w:sz w:val="20"/>
              </w:rPr>
              <w:t>Trách nhiệm rà soát, sửa đổi Quy chế</w:t>
            </w:r>
          </w:p>
        </w:tc>
        <w:tc>
          <w:tcPr>
            <w:tcW w:type="dxa" w:w="3744"/>
            <w:shd w:fill="F4F6F9" w:val="clear"/>
            <w:tcMar>
              <w:top w:w="100" w:type="dxa"/>
              <w:bottom w:w="100" w:type="dxa"/>
              <w:left w:w="110" w:type="dxa"/>
              <w:right w:w="110" w:type="dxa"/>
            </w:tcMar>
          </w:tcPr>
          <w:p>
            <w:pPr>
              <w:spacing w:line="276" w:lineRule="auto" w:after="40"/>
            </w:pPr>
            <w:r>
              <w:rPr>
                <w:rFonts w:ascii="Times New Roman" w:hAnsi="Times New Roman"/>
                <w:sz w:val="20"/>
              </w:rPr>
              <w:t>Quy chế số 36/QĐ-CĐĐB có hiệu lực từ ngày 08/9/2025.</w:t>
            </w:r>
          </w:p>
        </w:tc>
        <w:tc>
          <w:tcPr>
            <w:tcW w:type="dxa" w:w="3744"/>
            <w:shd w:fill="F4F6F9" w:val="clear"/>
            <w:tcMar>
              <w:top w:w="100" w:type="dxa"/>
              <w:bottom w:w="100" w:type="dxa"/>
              <w:left w:w="110" w:type="dxa"/>
              <w:right w:w="110" w:type="dxa"/>
            </w:tcMar>
          </w:tcPr>
          <w:p>
            <w:pPr>
              <w:spacing w:line="276" w:lineRule="auto" w:after="40"/>
            </w:pPr>
            <w:r>
              <w:rPr>
                <w:rFonts w:ascii="Times New Roman" w:hAnsi="Times New Roman"/>
                <w:sz w:val="20"/>
              </w:rPr>
              <w:t>Điều 3 khoản 2 quy định: Trong thời hạn 60 ngày kể từ ngày 14/9/2026, Hiệu trưởng phải rà soát, sửa đổi, ban hành Quy chế tổ chức, hoạt động phù hợp với Thông tư 63.</w:t>
            </w:r>
          </w:p>
        </w:tc>
        <w:tc>
          <w:tcPr>
            <w:tcW w:type="dxa" w:w="3456"/>
            <w:shd w:fill="F4F6F9" w:val="clear"/>
            <w:tcMar>
              <w:top w:w="100" w:type="dxa"/>
              <w:bottom w:w="100" w:type="dxa"/>
              <w:left w:w="110" w:type="dxa"/>
              <w:right w:w="110" w:type="dxa"/>
            </w:tcMar>
          </w:tcPr>
          <w:p>
            <w:pPr>
              <w:spacing w:line="276" w:lineRule="auto" w:after="40"/>
            </w:pPr>
            <w:r>
              <w:rPr>
                <w:rFonts w:ascii="Times New Roman" w:hAnsi="Times New Roman"/>
                <w:sz w:val="20"/>
              </w:rPr>
              <w:t>Xác định thời hạn hoàn thành ban hành Quy chế sửa đổi là trước ngày 13/11/2026.</w:t>
            </w:r>
          </w:p>
        </w:tc>
      </w:tr>
    </w:tbl>
    <w:p>
      <w:pPr>
        <w:pStyle w:val="Heading1"/>
        <w:spacing w:before="320" w:after="120"/>
      </w:pPr>
      <w:r>
        <w:rPr>
          <w:rFonts w:ascii="Times New Roman" w:hAnsi="Times New Roman"/>
          <w:b/>
          <w:color w:val="1B365D"/>
          <w:sz w:val="26"/>
        </w:rPr>
        <w:t>III. KẾ HOẠCH BÀN GIAO VÀ ĐỀ XUẤT NHIỆM VỤ THỰC HIỆN CỦA TRƯỜNG CAO ĐẲNG ĐIỆN BIÊN</w:t>
      </w:r>
    </w:p>
    <w:p>
      <w:pPr>
        <w:spacing w:after="80" w:line="276" w:lineRule="auto"/>
      </w:pPr>
      <w:r>
        <w:rPr>
          <w:rFonts w:ascii="Times New Roman" w:hAnsi="Times New Roman"/>
        </w:rPr>
        <w:t>Căn cứ quy định tại Điều 3 Thông tư số 63/2026/TT-BGDĐT, Nhà trường cần khẩn trương triển khai các bước sau:</w:t>
      </w:r>
    </w:p>
    <w:p>
      <w:pPr>
        <w:spacing w:after="80" w:line="276" w:lineRule="auto"/>
        <w:ind w:left="288"/>
      </w:pPr>
      <w:r>
        <w:rPr>
          <w:rFonts w:ascii="Times New Roman" w:hAnsi="Times New Roman"/>
          <w:b/>
          <w:color w:val="1B365D"/>
        </w:rPr>
        <w:t xml:space="preserve">1. Thành lập Ban Rà soát &amp; Ban Soạn thảo Quy chế mới: </w:t>
      </w:r>
      <w:r>
        <w:rPr>
          <w:rFonts w:ascii="Times New Roman" w:hAnsi="Times New Roman"/>
        </w:rPr>
        <w:t>Hiệu trưởng ban hành Quyết định thành lập Ban Soạn thảo rà soát Quy chế tổ chức và hoạt động nhằm điều chỉnh toàn bộ các căn cứ từ Bộ LĐ-TB&amp;XH sang Bộ Giáo dục và Đào tạo.</w:t>
      </w:r>
    </w:p>
    <w:p>
      <w:pPr>
        <w:spacing w:after="80" w:line="276" w:lineRule="auto"/>
        <w:ind w:left="288"/>
      </w:pPr>
      <w:r>
        <w:rPr>
          <w:rFonts w:ascii="Times New Roman" w:hAnsi="Times New Roman"/>
          <w:b/>
          <w:color w:val="1B365D"/>
        </w:rPr>
        <w:t xml:space="preserve">2. Rà soát chức năng, nhiệm vụ và cơ cấu bộ máy: </w:t>
      </w:r>
      <w:r>
        <w:rPr>
          <w:rFonts w:ascii="Times New Roman" w:hAnsi="Times New Roman"/>
        </w:rPr>
        <w:t>Điều chỉnh tên gọi, căn cứ pháp lý, quy định số lượng Phó Trưởng phòng, Phó Trưởng khoa theo đúng khung tiêu chuẩn viên chức sự nghiệp công lập tại Điều 16, 17 Thông tư 63.</w:t>
      </w:r>
    </w:p>
    <w:p>
      <w:pPr>
        <w:spacing w:after="80" w:line="276" w:lineRule="auto"/>
        <w:ind w:left="288"/>
      </w:pPr>
      <w:r>
        <w:rPr>
          <w:rFonts w:ascii="Times New Roman" w:hAnsi="Times New Roman"/>
          <w:b/>
          <w:color w:val="1B365D"/>
        </w:rPr>
        <w:t xml:space="preserve">3. Chuẩn hóa quy định đào tạo văn hóa THPT &amp; Chuyển đổi số: </w:t>
      </w:r>
      <w:r>
        <w:rPr>
          <w:rFonts w:ascii="Times New Roman" w:hAnsi="Times New Roman"/>
        </w:rPr>
        <w:t>Bổ sung các điều khoản về quản lý hồ sơ điện tử, cơ sở dữ liệu số, đào tạo văn hóa THPT và GDTX cấp THPT theo chương trình của Bộ GD&amp;ĐT.</w:t>
      </w:r>
    </w:p>
    <w:p>
      <w:pPr>
        <w:spacing w:after="80" w:line="276" w:lineRule="auto"/>
        <w:ind w:left="288"/>
      </w:pPr>
      <w:r>
        <w:rPr>
          <w:rFonts w:ascii="Times New Roman" w:hAnsi="Times New Roman"/>
          <w:b/>
          <w:color w:val="1B365D"/>
        </w:rPr>
        <w:t xml:space="preserve">4. Ban hành và Công khai Quy chế mới: </w:t>
      </w:r>
      <w:r>
        <w:rPr>
          <w:rFonts w:ascii="Times New Roman" w:hAnsi="Times New Roman"/>
        </w:rPr>
        <w:t>Hoàn thành dự thảo, lấy ý kiến toàn trường, trình cấp có thẩm quyền phê duyệt và ban hành công khai trước hạn chót 13/11/2026 (trong vòng 60 ngày kể từ ngày Thông tư 63 có hiệu lực).</w:t>
      </w:r>
    </w:p>
    <w:sectPr w:rsidR="00FC693F" w:rsidRPr="0006063C" w:rsidSect="00034616">
      <w:headerReference w:type="default" r:id="rId9"/>
      <w:footerReference w:type="default" r:id="rId10"/>
      <w:pgSz w:w="15840" w:h="12240" w:orient="landscape"/>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787878"/>
        <w:sz w:val="20"/>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787878"/>
        <w:sz w:val="18"/>
      </w:rPr>
      <w:t>BẢNG SO SÁNH QUY CHẾ TỔ CHỨC &amp; HOẠT ĐỘNG CĐĐB VỚI THÔNG TƯ 63/2026/TT-BGDĐT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