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Case Study</w:t>
      </w:r>
    </w:p>
    <w:p>
      <w:r>
        <w:t>Acme Corp deployed AKF across their AI pipeline. Results: 40% reduction in compliance review time, 95% automated audit pass rate, zero regulatory findings in 12 months.</w:t>
      </w:r>
    </w:p>
    <w:p>
      <w:r>
        <w:t>Classification: Internal | Generated: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akf-item.xml><?xml version="1.0" encoding="utf-8"?>
<akf:metadata xmlns:akf="https://akf.dev/v1">
<![CDATA[
{
  "classification": "confidential",
  "claims": [
    {
      "c": "Content from customer-case-study",
      "t": 0.9,
      "src": "internal"
    }
  ]
}
]]>  
</akf:metadata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