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Update</w:t>
      </w:r>
    </w:p>
    <w:p>
      <w:r>
        <w:t>Remote work policy effective January 1, 2027. All AI-assisted hiring decisions must include human review. Bias audit results: gender gap reduced from 8% to 2%.</w:t>
      </w:r>
    </w:p>
    <w:p>
      <w:r>
        <w:t>Classification: Internal | Generated: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akf-item.xml><?xml version="1.0" encoding="utf-8"?>
<akf:metadata xmlns:akf="https://akf.dev/v1">
<![CDATA[
{
  "classification": "confidential",
  "claims": [
    {
      "c": "Content from hr-policy-update",
      "t": 0.9,
      "src": "internal"
    }
  ]
}
]]>  
</akf:metadata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