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Legal Review</w:t>
      </w:r>
    </w:p>
    <w:p>
      <w:r>
        <w:t>EU AI Act compliance assessment completed. Article 13 transparency requirements partially met. Action items: label all AI-generated content, add provenance chains to automated decisions.</w:t>
      </w:r>
    </w:p>
    <w:p>
      <w:r>
        <w:t>Classification: Internal | Generated: March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akf-item.xml><?xml version="1.0" encoding="utf-8"?>
<akf:metadata xmlns:akf="https://akf.dev/v1">
<![CDATA[
{
  "classification": "confidential",
  "claims": [
    {
      "c": "Content from legal-review",
      "t": 0.9,
      "src": "internal"
    }
  ]
}
]]>  
</akf:metadata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